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2E556" w14:textId="32B218FB" w:rsidR="000D0F31" w:rsidRPr="0045061C" w:rsidRDefault="002D6A6E" w:rsidP="00FC26FB">
      <w:pPr>
        <w:jc w:val="center"/>
        <w:rPr>
          <w:rFonts w:ascii="Times New Roman" w:eastAsia="华文楷体" w:hAnsi="Times New Roman" w:cs="Times New Roman"/>
          <w:b/>
          <w:color w:val="000000" w:themeColor="text1"/>
          <w:sz w:val="44"/>
          <w:szCs w:val="44"/>
        </w:rPr>
      </w:pPr>
      <w:bookmarkStart w:id="0" w:name="_GoBack"/>
      <w:r w:rsidRPr="0045061C">
        <w:rPr>
          <w:rFonts w:ascii="Times New Roman" w:hAnsi="Times New Roman"/>
          <w:b/>
          <w:color w:val="000000" w:themeColor="text1"/>
          <w:sz w:val="44"/>
          <w:szCs w:val="44"/>
        </w:rPr>
        <w:t>Enrollment Guide for International Students to Study at Hunan University of Technology and Business in 202</w:t>
      </w:r>
      <w:r w:rsidR="00F20158">
        <w:rPr>
          <w:rFonts w:ascii="Times New Roman" w:hAnsi="Times New Roman"/>
          <w:b/>
          <w:color w:val="000000" w:themeColor="text1"/>
          <w:sz w:val="44"/>
          <w:szCs w:val="44"/>
        </w:rPr>
        <w:t>4</w:t>
      </w:r>
    </w:p>
    <w:bookmarkEnd w:id="0"/>
    <w:p w14:paraId="2354D163" w14:textId="77777777" w:rsidR="000D0F31" w:rsidRPr="0045061C" w:rsidRDefault="000D0F31" w:rsidP="00FC26FB">
      <w:pPr>
        <w:rPr>
          <w:rFonts w:ascii="Times New Roman" w:eastAsia="华文楷体" w:hAnsi="Times New Roman" w:cs="Times New Roman"/>
          <w:b/>
          <w:color w:val="000000" w:themeColor="text1"/>
          <w:sz w:val="24"/>
          <w:szCs w:val="24"/>
        </w:rPr>
      </w:pPr>
    </w:p>
    <w:p w14:paraId="07F17ED6" w14:textId="77777777" w:rsidR="000D0F31" w:rsidRPr="0045061C" w:rsidRDefault="002D6A6E" w:rsidP="00FC26FB">
      <w:pPr>
        <w:pStyle w:val="Style1"/>
        <w:spacing w:afterLines="50" w:after="156" w:line="320" w:lineRule="exact"/>
        <w:ind w:firstLineChars="0" w:firstLine="0"/>
        <w:rPr>
          <w:rFonts w:ascii="Times New Roman" w:eastAsia="华文楷体" w:hAnsi="Times New Roman"/>
          <w:b/>
          <w:bCs/>
          <w:color w:val="000000" w:themeColor="text1"/>
          <w:sz w:val="30"/>
          <w:szCs w:val="30"/>
        </w:rPr>
      </w:pPr>
      <w:r w:rsidRPr="0045061C">
        <w:rPr>
          <w:rFonts w:ascii="Times New Roman" w:hAnsi="Times New Roman"/>
          <w:b/>
          <w:bCs/>
          <w:color w:val="000000" w:themeColor="text1"/>
          <w:sz w:val="30"/>
          <w:szCs w:val="30"/>
        </w:rPr>
        <w:t>I.</w:t>
      </w:r>
      <w:r w:rsidRPr="0045061C">
        <w:rPr>
          <w:rFonts w:ascii="Times New Roman" w:hAnsi="Times New Roman"/>
          <w:b/>
          <w:bCs/>
          <w:color w:val="000000" w:themeColor="text1"/>
          <w:sz w:val="30"/>
          <w:szCs w:val="30"/>
        </w:rPr>
        <w:tab/>
        <w:t>Introduction to HUTB</w:t>
      </w:r>
    </w:p>
    <w:p w14:paraId="569B903D" w14:textId="196F4C88" w:rsidR="000D0F31" w:rsidRPr="0045061C" w:rsidRDefault="002D6A6E" w:rsidP="00FC26FB">
      <w:pPr>
        <w:widowControl/>
        <w:spacing w:line="400" w:lineRule="exact"/>
        <w:ind w:firstLine="482"/>
        <w:rPr>
          <w:rFonts w:ascii="Times New Roman" w:eastAsia="华文楷体" w:hAnsi="Times New Roman" w:cs="Times New Roman"/>
          <w:color w:val="000000" w:themeColor="text1"/>
          <w:kern w:val="0"/>
          <w:sz w:val="24"/>
          <w:szCs w:val="24"/>
        </w:rPr>
      </w:pPr>
      <w:r w:rsidRPr="0045061C">
        <w:rPr>
          <w:rFonts w:ascii="Times New Roman" w:hAnsi="Times New Roman"/>
          <w:color w:val="000000" w:themeColor="text1"/>
          <w:sz w:val="24"/>
          <w:szCs w:val="24"/>
        </w:rPr>
        <w:t xml:space="preserve">Located in the historically and culturally renowned city of Changsha, </w:t>
      </w:r>
      <w:r w:rsidR="00B83110" w:rsidRPr="0045061C">
        <w:rPr>
          <w:rFonts w:ascii="Times New Roman" w:hAnsi="Times New Roman" w:hint="eastAsia"/>
          <w:color w:val="000000" w:themeColor="text1"/>
          <w:sz w:val="24"/>
          <w:szCs w:val="24"/>
        </w:rPr>
        <w:t>and</w:t>
      </w:r>
      <w:r w:rsidR="00B83110" w:rsidRPr="0045061C">
        <w:rPr>
          <w:rFonts w:ascii="Times New Roman" w:hAnsi="Times New Roman"/>
          <w:color w:val="000000" w:themeColor="text1"/>
          <w:sz w:val="24"/>
          <w:szCs w:val="24"/>
        </w:rPr>
        <w:t xml:space="preserve"> founded in 1949, </w:t>
      </w:r>
      <w:r w:rsidRPr="0045061C">
        <w:rPr>
          <w:rFonts w:ascii="Times New Roman" w:hAnsi="Times New Roman"/>
          <w:color w:val="000000" w:themeColor="text1"/>
          <w:sz w:val="24"/>
          <w:szCs w:val="24"/>
        </w:rPr>
        <w:t>HUTB is a multi-disciplinary university with distinctive characteristics and mutually-supporting coordinately developing disciplines in economics, management, engineering, science, law, literature, art, interdisciplinary disciplines and others. As one of the first-batch group to enroll students in the province, it is a Grand Slam University which has been appraised by the Ministry of Education as “Excellence” in the undergraduate teaching quality evaluation, and construction unit for doctorate conferment. It is also awarded as an Applied University of National Industry-Education Integrated Development Project in the 13th Five-Year Plan, one of the national first-batch top 100 “Model Universities in Deepening Innovation and Entrepreneurship Education Reform”, the “National Innovation and Entrepreneurship Base of Practical Education” and Outstanding Achievement Award in Humanities and Social Sciences of the Ministry of Education.</w:t>
      </w:r>
    </w:p>
    <w:p w14:paraId="28F94C5A" w14:textId="7B6542D2" w:rsidR="000D0F31" w:rsidRPr="0045061C" w:rsidRDefault="002D6A6E" w:rsidP="00FC26FB">
      <w:pPr>
        <w:widowControl/>
        <w:spacing w:line="400" w:lineRule="exact"/>
        <w:ind w:firstLine="482"/>
        <w:rPr>
          <w:rFonts w:ascii="Times New Roman" w:eastAsia="华文楷体" w:hAnsi="Times New Roman" w:cs="Times New Roman"/>
          <w:color w:val="000000" w:themeColor="text1"/>
          <w:kern w:val="0"/>
          <w:sz w:val="24"/>
          <w:szCs w:val="24"/>
        </w:rPr>
      </w:pPr>
      <w:r w:rsidRPr="0045061C">
        <w:rPr>
          <w:rFonts w:ascii="Times New Roman" w:hAnsi="Times New Roman"/>
          <w:color w:val="000000" w:themeColor="text1"/>
          <w:sz w:val="24"/>
          <w:szCs w:val="24"/>
        </w:rPr>
        <w:t>Currently, there are 2</w:t>
      </w:r>
      <w:r w:rsidR="002F63C2" w:rsidRPr="0045061C">
        <w:rPr>
          <w:rFonts w:ascii="Times New Roman" w:hAnsi="Times New Roman"/>
          <w:color w:val="000000" w:themeColor="text1"/>
          <w:sz w:val="24"/>
          <w:szCs w:val="24"/>
        </w:rPr>
        <w:t>3</w:t>
      </w:r>
      <w:r w:rsidRPr="0045061C">
        <w:rPr>
          <w:rFonts w:ascii="Times New Roman" w:hAnsi="Times New Roman"/>
          <w:color w:val="000000" w:themeColor="text1"/>
          <w:sz w:val="24"/>
          <w:szCs w:val="24"/>
        </w:rPr>
        <w:t xml:space="preserve"> schools (departments), 7</w:t>
      </w:r>
      <w:r w:rsidR="002F63C2" w:rsidRPr="0045061C">
        <w:rPr>
          <w:rFonts w:ascii="Times New Roman" w:hAnsi="Times New Roman"/>
          <w:color w:val="000000" w:themeColor="text1"/>
          <w:sz w:val="24"/>
          <w:szCs w:val="24"/>
        </w:rPr>
        <w:t>7</w:t>
      </w:r>
      <w:r w:rsidRPr="0045061C">
        <w:rPr>
          <w:rFonts w:ascii="Times New Roman" w:hAnsi="Times New Roman"/>
          <w:color w:val="000000" w:themeColor="text1"/>
          <w:sz w:val="24"/>
          <w:szCs w:val="24"/>
        </w:rPr>
        <w:t xml:space="preserve"> undergraduate specialties (including 3 Sino-foreign cooperation undergraduate specialties), 19 national first-class specialties and 33 provincial first-class specialties. There are nearly 500 teachers with senior professional titles, nearly 800 teachers with doctoral degrees, 9 introduced academicians, 70 experts, scholars and outstanding entrepreneurs such as "Distinguished Young Scholars" and "Changjiang Scholars"; the</w:t>
      </w:r>
      <w:r w:rsidR="00321DCE" w:rsidRPr="0045061C">
        <w:rPr>
          <w:rFonts w:ascii="Times New Roman" w:hAnsi="Times New Roman"/>
          <w:color w:val="000000" w:themeColor="text1"/>
          <w:sz w:val="24"/>
          <w:szCs w:val="24"/>
        </w:rPr>
        <w:t xml:space="preserve"> </w:t>
      </w:r>
      <w:r w:rsidR="00321DCE" w:rsidRPr="0045061C">
        <w:rPr>
          <w:rFonts w:ascii="Times New Roman" w:hAnsi="Times New Roman"/>
          <w:color w:val="000000" w:themeColor="text1"/>
          <w:sz w:val="24"/>
          <w:szCs w:val="24"/>
        </w:rPr>
        <w:t>team</w:t>
      </w:r>
      <w:r w:rsidR="00321DCE" w:rsidRPr="0045061C">
        <w:rPr>
          <w:rFonts w:ascii="Times New Roman" w:hAnsi="Times New Roman"/>
          <w:color w:val="000000" w:themeColor="text1"/>
          <w:sz w:val="24"/>
          <w:szCs w:val="24"/>
        </w:rPr>
        <w:t xml:space="preserve"> of</w:t>
      </w:r>
      <w:r w:rsidR="00321DCE" w:rsidRPr="0045061C">
        <w:rPr>
          <w:rFonts w:ascii="Times New Roman" w:hAnsi="Times New Roman"/>
          <w:color w:val="000000" w:themeColor="text1"/>
          <w:sz w:val="24"/>
          <w:szCs w:val="24"/>
        </w:rPr>
        <w:t xml:space="preserve"> </w:t>
      </w:r>
      <w:r w:rsidR="00321DCE" w:rsidRPr="0045061C">
        <w:rPr>
          <w:rFonts w:ascii="Times New Roman" w:hAnsi="Times New Roman"/>
          <w:color w:val="000000" w:themeColor="text1"/>
          <w:sz w:val="24"/>
          <w:szCs w:val="24"/>
        </w:rPr>
        <w:t>“</w:t>
      </w:r>
      <w:r w:rsidR="00321DCE" w:rsidRPr="0045061C">
        <w:rPr>
          <w:rFonts w:ascii="Times New Roman" w:eastAsia="华文楷体" w:hAnsi="Times New Roman" w:cs="Times New Roman"/>
          <w:color w:val="000000" w:themeColor="text1"/>
          <w:kern w:val="0"/>
          <w:sz w:val="24"/>
          <w:szCs w:val="24"/>
        </w:rPr>
        <w:t>Green and Smart Management</w:t>
      </w:r>
      <w:r w:rsidR="00321DCE" w:rsidRPr="0045061C">
        <w:rPr>
          <w:rFonts w:ascii="Times New Roman" w:hAnsi="Times New Roman"/>
          <w:color w:val="000000" w:themeColor="text1"/>
          <w:sz w:val="24"/>
          <w:szCs w:val="24"/>
        </w:rPr>
        <w:t xml:space="preserve">” led by the </w:t>
      </w:r>
      <w:r w:rsidRPr="0045061C">
        <w:rPr>
          <w:rFonts w:ascii="Times New Roman" w:hAnsi="Times New Roman"/>
          <w:color w:val="000000" w:themeColor="text1"/>
          <w:sz w:val="24"/>
          <w:szCs w:val="24"/>
        </w:rPr>
        <w:t xml:space="preserve">academician </w:t>
      </w:r>
      <w:r w:rsidR="00321DCE" w:rsidRPr="0045061C">
        <w:rPr>
          <w:rFonts w:ascii="Times New Roman" w:hAnsi="Times New Roman"/>
          <w:color w:val="000000" w:themeColor="text1"/>
          <w:sz w:val="24"/>
          <w:szCs w:val="24"/>
        </w:rPr>
        <w:t>and the teacher</w:t>
      </w:r>
      <w:r w:rsidR="008F52B6" w:rsidRPr="0045061C">
        <w:rPr>
          <w:rFonts w:ascii="Times New Roman" w:hAnsi="Times New Roman"/>
          <w:color w:val="000000" w:themeColor="text1"/>
          <w:sz w:val="24"/>
          <w:szCs w:val="24"/>
        </w:rPr>
        <w:t>s</w:t>
      </w:r>
      <w:r w:rsidR="00321DCE" w:rsidRPr="0045061C">
        <w:rPr>
          <w:rFonts w:ascii="Times New Roman" w:hAnsi="Times New Roman"/>
          <w:color w:val="000000" w:themeColor="text1"/>
          <w:sz w:val="24"/>
          <w:szCs w:val="24"/>
        </w:rPr>
        <w:t xml:space="preserve"> team of “Introduction to Xi Jinping Thought on Socialism with Chinese Characteristics for a New Era” </w:t>
      </w:r>
      <w:r w:rsidRPr="0045061C">
        <w:rPr>
          <w:rFonts w:ascii="Times New Roman" w:hAnsi="Times New Roman"/>
          <w:color w:val="000000" w:themeColor="text1"/>
          <w:sz w:val="24"/>
          <w:szCs w:val="24"/>
        </w:rPr>
        <w:t>w</w:t>
      </w:r>
      <w:r w:rsidR="00321DCE" w:rsidRPr="0045061C">
        <w:rPr>
          <w:rFonts w:ascii="Times New Roman" w:hAnsi="Times New Roman"/>
          <w:color w:val="000000" w:themeColor="text1"/>
          <w:sz w:val="24"/>
          <w:szCs w:val="24"/>
        </w:rPr>
        <w:t>ere</w:t>
      </w:r>
      <w:r w:rsidRPr="0045061C">
        <w:rPr>
          <w:rFonts w:ascii="Times New Roman" w:hAnsi="Times New Roman"/>
          <w:color w:val="000000" w:themeColor="text1"/>
          <w:sz w:val="24"/>
          <w:szCs w:val="24"/>
        </w:rPr>
        <w:t xml:space="preserve"> selected as "</w:t>
      </w:r>
      <w:r w:rsidR="00A15AF7" w:rsidRPr="0045061C">
        <w:rPr>
          <w:rFonts w:ascii="Times New Roman" w:hAnsi="Times New Roman" w:cs="Times New Roman"/>
          <w:color w:val="000000" w:themeColor="text1"/>
          <w:sz w:val="24"/>
          <w:szCs w:val="24"/>
        </w:rPr>
        <w:t xml:space="preserve"> Huang Danian-style Teacher Team in National Colleges and Universities</w:t>
      </w:r>
      <w:r w:rsidRPr="0045061C">
        <w:rPr>
          <w:rFonts w:ascii="Times New Roman" w:hAnsi="Times New Roman"/>
          <w:color w:val="000000" w:themeColor="text1"/>
          <w:sz w:val="24"/>
          <w:szCs w:val="24"/>
        </w:rPr>
        <w:t>". There are more than 20,000 full-time students. HUTB began to recruit international students in 2010, and has so far trained more than 300 international students from more than 30 countries around the world. HUTB has been extending its international exchange and cooperation and established international cooperative relations and exchanges with more than 20 universities and rese</w:t>
      </w:r>
      <w:r w:rsidR="00356F39" w:rsidRPr="0045061C">
        <w:rPr>
          <w:rFonts w:ascii="Times New Roman" w:hAnsi="Times New Roman"/>
          <w:color w:val="000000" w:themeColor="text1"/>
          <w:sz w:val="24"/>
          <w:szCs w:val="24"/>
        </w:rPr>
        <w:t>arch institutions from</w:t>
      </w:r>
      <w:r w:rsidR="008F52B6" w:rsidRPr="0045061C">
        <w:rPr>
          <w:rFonts w:ascii="Times New Roman" w:hAnsi="Times New Roman"/>
          <w:color w:val="000000" w:themeColor="text1"/>
          <w:sz w:val="24"/>
          <w:szCs w:val="24"/>
        </w:rPr>
        <w:t xml:space="preserve"> </w:t>
      </w:r>
      <w:r w:rsidR="008F52B6" w:rsidRPr="0045061C">
        <w:rPr>
          <w:rFonts w:ascii="Times New Roman" w:hAnsi="Times New Roman"/>
          <w:color w:val="000000" w:themeColor="text1"/>
          <w:sz w:val="24"/>
          <w:szCs w:val="24"/>
        </w:rPr>
        <w:t>USA, UK, France,</w:t>
      </w:r>
      <w:r w:rsidR="008F52B6" w:rsidRPr="0045061C">
        <w:rPr>
          <w:rFonts w:ascii="Times New Roman" w:hAnsi="Times New Roman"/>
          <w:color w:val="000000" w:themeColor="text1"/>
          <w:sz w:val="24"/>
          <w:szCs w:val="24"/>
        </w:rPr>
        <w:t xml:space="preserve"> Russia,</w:t>
      </w:r>
      <w:r w:rsidR="00356F39" w:rsidRPr="0045061C">
        <w:rPr>
          <w:rFonts w:ascii="Times New Roman" w:hAnsi="Times New Roman"/>
          <w:color w:val="000000" w:themeColor="text1"/>
          <w:sz w:val="24"/>
          <w:szCs w:val="24"/>
        </w:rPr>
        <w:t xml:space="preserve"> Ireland</w:t>
      </w:r>
      <w:r w:rsidRPr="0045061C">
        <w:rPr>
          <w:rFonts w:ascii="Times New Roman" w:hAnsi="Times New Roman"/>
          <w:color w:val="000000" w:themeColor="text1"/>
          <w:sz w:val="24"/>
          <w:szCs w:val="24"/>
        </w:rPr>
        <w:t xml:space="preserve">, Italy, </w:t>
      </w:r>
      <w:r w:rsidR="008F52B6" w:rsidRPr="0045061C">
        <w:rPr>
          <w:rFonts w:ascii="Times New Roman" w:hAnsi="Times New Roman" w:hint="eastAsia"/>
          <w:color w:val="000000" w:themeColor="text1"/>
          <w:sz w:val="24"/>
          <w:szCs w:val="24"/>
        </w:rPr>
        <w:t>Netherlands</w:t>
      </w:r>
      <w:r w:rsidR="008F52B6" w:rsidRPr="0045061C">
        <w:rPr>
          <w:rFonts w:ascii="Times New Roman" w:hAnsi="Times New Roman"/>
          <w:color w:val="000000" w:themeColor="text1"/>
          <w:sz w:val="24"/>
          <w:szCs w:val="24"/>
        </w:rPr>
        <w:t xml:space="preserve">, </w:t>
      </w:r>
      <w:r w:rsidRPr="0045061C">
        <w:rPr>
          <w:rFonts w:ascii="Times New Roman" w:hAnsi="Times New Roman"/>
          <w:color w:val="000000" w:themeColor="text1"/>
          <w:sz w:val="24"/>
          <w:szCs w:val="24"/>
        </w:rPr>
        <w:t>South Korea, etc.</w:t>
      </w:r>
    </w:p>
    <w:p w14:paraId="7EF2EA83" w14:textId="1211FD14" w:rsidR="000D0F31" w:rsidRPr="0045061C" w:rsidRDefault="00DE214D" w:rsidP="00FC26FB">
      <w:pPr>
        <w:widowControl/>
        <w:spacing w:line="400" w:lineRule="exact"/>
        <w:ind w:firstLine="482"/>
        <w:rPr>
          <w:rFonts w:ascii="Times New Roman" w:eastAsia="华文楷体" w:hAnsi="Times New Roman" w:cs="Times New Roman"/>
          <w:color w:val="000000" w:themeColor="text1"/>
          <w:kern w:val="0"/>
          <w:sz w:val="24"/>
          <w:szCs w:val="24"/>
        </w:rPr>
      </w:pPr>
      <w:r w:rsidRPr="0045061C">
        <w:rPr>
          <w:rFonts w:ascii="Times New Roman" w:hAnsi="Times New Roman"/>
          <w:color w:val="000000" w:themeColor="text1"/>
          <w:sz w:val="24"/>
          <w:szCs w:val="24"/>
        </w:rPr>
        <w:lastRenderedPageBreak/>
        <w:t>Adhering to the idea of integration between “new engineering courses + new business courses</w:t>
      </w:r>
      <w:r w:rsidR="00B9510B" w:rsidRPr="0045061C">
        <w:rPr>
          <w:rFonts w:ascii="Times New Roman" w:hAnsi="Times New Roman"/>
          <w:color w:val="000000" w:themeColor="text1"/>
          <w:sz w:val="24"/>
          <w:szCs w:val="24"/>
        </w:rPr>
        <w:t xml:space="preserve"> </w:t>
      </w:r>
      <w:r w:rsidRPr="0045061C">
        <w:rPr>
          <w:rFonts w:ascii="Times New Roman" w:hAnsi="Times New Roman"/>
          <w:color w:val="000000" w:themeColor="text1"/>
          <w:sz w:val="24"/>
          <w:szCs w:val="24"/>
        </w:rPr>
        <w:t>+</w:t>
      </w:r>
      <w:r w:rsidR="00B9510B" w:rsidRPr="0045061C">
        <w:rPr>
          <w:rFonts w:ascii="Times New Roman" w:hAnsi="Times New Roman"/>
          <w:color w:val="000000" w:themeColor="text1"/>
          <w:sz w:val="24"/>
          <w:szCs w:val="24"/>
        </w:rPr>
        <w:t xml:space="preserve"> </w:t>
      </w:r>
      <w:r w:rsidRPr="0045061C">
        <w:rPr>
          <w:rFonts w:ascii="Times New Roman" w:hAnsi="Times New Roman"/>
          <w:color w:val="000000" w:themeColor="text1"/>
          <w:sz w:val="24"/>
          <w:szCs w:val="24"/>
        </w:rPr>
        <w:t>new liberal arts courses” and science courses, HUTB strives to form first-class ideas, first-class goals, first-class standards, first-class quality and first-class mechanisms, create a university paying attention to innovation, humanities, art, sports, digital intelligence, environment protection, and happiness, build a good garden for reading and seeking knowledge, and take advantage of the east wind of higher education reform and forge ahead to sail towards the vision of an innovative first-class technological and business university.</w:t>
      </w:r>
    </w:p>
    <w:p w14:paraId="481BB147" w14:textId="77777777" w:rsidR="000D0F31" w:rsidRPr="0045061C" w:rsidRDefault="000D0F31" w:rsidP="00FC26FB">
      <w:pPr>
        <w:widowControl/>
        <w:spacing w:line="360" w:lineRule="exact"/>
        <w:ind w:firstLine="482"/>
        <w:rPr>
          <w:rFonts w:ascii="Times New Roman" w:eastAsia="华文楷体" w:hAnsi="Times New Roman" w:cs="Times New Roman"/>
          <w:color w:val="000000" w:themeColor="text1"/>
          <w:kern w:val="0"/>
          <w:sz w:val="24"/>
          <w:szCs w:val="24"/>
        </w:rPr>
      </w:pPr>
    </w:p>
    <w:p w14:paraId="696CDD36" w14:textId="793EE577" w:rsidR="000D0F31" w:rsidRPr="0045061C" w:rsidRDefault="00B9510B" w:rsidP="00FC26FB">
      <w:pPr>
        <w:pStyle w:val="Style1"/>
        <w:spacing w:afterLines="50" w:after="156" w:line="320" w:lineRule="exact"/>
        <w:ind w:firstLineChars="0" w:firstLine="0"/>
        <w:rPr>
          <w:rFonts w:ascii="Times New Roman" w:eastAsia="华文楷体" w:hAnsi="Times New Roman"/>
          <w:b/>
          <w:bCs/>
          <w:color w:val="000000" w:themeColor="text1"/>
          <w:sz w:val="30"/>
          <w:szCs w:val="30"/>
        </w:rPr>
      </w:pPr>
      <w:r w:rsidRPr="0045061C">
        <w:rPr>
          <w:rFonts w:ascii="Times New Roman" w:hAnsi="Times New Roman"/>
          <w:b/>
          <w:bCs/>
          <w:color w:val="000000" w:themeColor="text1"/>
          <w:sz w:val="30"/>
          <w:szCs w:val="30"/>
        </w:rPr>
        <w:t>II</w:t>
      </w:r>
      <w:r w:rsidRPr="0045061C">
        <w:rPr>
          <w:rFonts w:ascii="Times New Roman" w:hAnsi="Times New Roman"/>
          <w:b/>
          <w:bCs/>
          <w:color w:val="000000" w:themeColor="text1"/>
          <w:sz w:val="30"/>
          <w:szCs w:val="30"/>
        </w:rPr>
        <w:tab/>
      </w:r>
      <w:r w:rsidR="002D6A6E" w:rsidRPr="0045061C">
        <w:rPr>
          <w:rFonts w:ascii="Times New Roman" w:hAnsi="Times New Roman"/>
          <w:b/>
          <w:bCs/>
          <w:color w:val="000000" w:themeColor="text1"/>
          <w:sz w:val="30"/>
          <w:szCs w:val="30"/>
        </w:rPr>
        <w:t>Majors</w:t>
      </w:r>
    </w:p>
    <w:tbl>
      <w:tblPr>
        <w:tblStyle w:val="a3"/>
        <w:tblW w:w="0" w:type="auto"/>
        <w:jc w:val="center"/>
        <w:tblLook w:val="04A0" w:firstRow="1" w:lastRow="0" w:firstColumn="1" w:lastColumn="0" w:noHBand="0" w:noVBand="1"/>
      </w:tblPr>
      <w:tblGrid>
        <w:gridCol w:w="1638"/>
        <w:gridCol w:w="2752"/>
        <w:gridCol w:w="1559"/>
        <w:gridCol w:w="1701"/>
      </w:tblGrid>
      <w:tr w:rsidR="0045061C" w:rsidRPr="0045061C" w14:paraId="5B0F55C7" w14:textId="77777777" w:rsidTr="00A67288">
        <w:trPr>
          <w:trHeight w:val="598"/>
          <w:jc w:val="center"/>
        </w:trPr>
        <w:tc>
          <w:tcPr>
            <w:tcW w:w="1638" w:type="dxa"/>
            <w:vAlign w:val="center"/>
          </w:tcPr>
          <w:p w14:paraId="106F5A74" w14:textId="77777777" w:rsidR="00DE214D" w:rsidRPr="0045061C" w:rsidRDefault="00DE214D" w:rsidP="00356F39">
            <w:pPr>
              <w:widowControl/>
              <w:jc w:val="center"/>
              <w:rPr>
                <w:rFonts w:ascii="Times New Roman" w:eastAsia="华文楷体" w:hAnsi="Times New Roman" w:cs="Times New Roman"/>
                <w:b/>
                <w:bCs/>
                <w:color w:val="000000" w:themeColor="text1"/>
                <w:kern w:val="0"/>
                <w:sz w:val="24"/>
                <w:szCs w:val="24"/>
              </w:rPr>
            </w:pPr>
            <w:r w:rsidRPr="0045061C">
              <w:rPr>
                <w:rFonts w:ascii="Times New Roman" w:hAnsi="Times New Roman"/>
                <w:b/>
                <w:bCs/>
                <w:color w:val="000000" w:themeColor="text1"/>
                <w:sz w:val="24"/>
                <w:szCs w:val="24"/>
              </w:rPr>
              <w:t>Degree</w:t>
            </w:r>
          </w:p>
        </w:tc>
        <w:tc>
          <w:tcPr>
            <w:tcW w:w="2752" w:type="dxa"/>
            <w:vAlign w:val="center"/>
          </w:tcPr>
          <w:p w14:paraId="1AEDD4F5" w14:textId="77777777" w:rsidR="00DE214D" w:rsidRPr="0045061C" w:rsidRDefault="00DE214D" w:rsidP="00356F39">
            <w:pPr>
              <w:widowControl/>
              <w:jc w:val="center"/>
              <w:rPr>
                <w:rFonts w:ascii="Times New Roman" w:eastAsia="华文楷体" w:hAnsi="Times New Roman" w:cs="Times New Roman"/>
                <w:b/>
                <w:bCs/>
                <w:color w:val="000000" w:themeColor="text1"/>
                <w:kern w:val="0"/>
                <w:sz w:val="24"/>
                <w:szCs w:val="24"/>
              </w:rPr>
            </w:pPr>
            <w:r w:rsidRPr="0045061C">
              <w:rPr>
                <w:rFonts w:ascii="Times New Roman" w:hAnsi="Times New Roman"/>
                <w:b/>
                <w:bCs/>
                <w:color w:val="000000" w:themeColor="text1"/>
                <w:sz w:val="24"/>
                <w:szCs w:val="24"/>
              </w:rPr>
              <w:t>Major</w:t>
            </w:r>
          </w:p>
        </w:tc>
        <w:tc>
          <w:tcPr>
            <w:tcW w:w="1559" w:type="dxa"/>
            <w:vAlign w:val="center"/>
          </w:tcPr>
          <w:p w14:paraId="310F730D" w14:textId="77777777" w:rsidR="00DE214D" w:rsidRPr="0045061C" w:rsidRDefault="00DE214D" w:rsidP="00356F39">
            <w:pPr>
              <w:widowControl/>
              <w:jc w:val="center"/>
              <w:rPr>
                <w:rFonts w:ascii="Times New Roman" w:eastAsia="华文楷体" w:hAnsi="Times New Roman" w:cs="Times New Roman"/>
                <w:b/>
                <w:bCs/>
                <w:color w:val="000000" w:themeColor="text1"/>
                <w:kern w:val="0"/>
                <w:sz w:val="24"/>
                <w:szCs w:val="24"/>
              </w:rPr>
            </w:pPr>
            <w:r w:rsidRPr="0045061C">
              <w:rPr>
                <w:rFonts w:ascii="Times New Roman" w:hAnsi="Times New Roman"/>
                <w:b/>
                <w:bCs/>
                <w:color w:val="000000" w:themeColor="text1"/>
                <w:sz w:val="24"/>
                <w:szCs w:val="24"/>
              </w:rPr>
              <w:t>Length of Schooling (Years)</w:t>
            </w:r>
          </w:p>
        </w:tc>
        <w:tc>
          <w:tcPr>
            <w:tcW w:w="1701" w:type="dxa"/>
            <w:vAlign w:val="center"/>
          </w:tcPr>
          <w:p w14:paraId="38BD8E78" w14:textId="77777777" w:rsidR="00DE214D" w:rsidRPr="0045061C" w:rsidRDefault="00DE214D" w:rsidP="00356F39">
            <w:pPr>
              <w:widowControl/>
              <w:jc w:val="center"/>
              <w:rPr>
                <w:rFonts w:ascii="Times New Roman" w:eastAsia="华文楷体" w:hAnsi="Times New Roman" w:cs="Times New Roman"/>
                <w:b/>
                <w:bCs/>
                <w:color w:val="000000" w:themeColor="text1"/>
                <w:kern w:val="0"/>
                <w:sz w:val="24"/>
                <w:szCs w:val="24"/>
              </w:rPr>
            </w:pPr>
            <w:r w:rsidRPr="0045061C">
              <w:rPr>
                <w:rFonts w:ascii="Times New Roman" w:hAnsi="Times New Roman"/>
                <w:b/>
                <w:bCs/>
                <w:color w:val="000000" w:themeColor="text1"/>
                <w:sz w:val="24"/>
                <w:szCs w:val="24"/>
              </w:rPr>
              <w:t>Language of Instruction</w:t>
            </w:r>
          </w:p>
        </w:tc>
      </w:tr>
      <w:tr w:rsidR="0045061C" w:rsidRPr="0045061C" w14:paraId="234BEC61" w14:textId="77777777" w:rsidTr="00A67288">
        <w:trPr>
          <w:trHeight w:val="598"/>
          <w:jc w:val="center"/>
        </w:trPr>
        <w:tc>
          <w:tcPr>
            <w:tcW w:w="1638" w:type="dxa"/>
            <w:vAlign w:val="center"/>
          </w:tcPr>
          <w:p w14:paraId="2FF62EBF" w14:textId="77777777" w:rsidR="00DE214D" w:rsidRPr="0045061C" w:rsidRDefault="00DE214D" w:rsidP="00356F39">
            <w:pPr>
              <w:widowControl/>
              <w:jc w:val="center"/>
              <w:rPr>
                <w:rFonts w:ascii="Times New Roman" w:eastAsia="华文楷体" w:hAnsi="Times New Roman" w:cs="Times New Roman"/>
                <w:bCs/>
                <w:color w:val="000000" w:themeColor="text1"/>
                <w:kern w:val="0"/>
                <w:sz w:val="24"/>
                <w:szCs w:val="24"/>
              </w:rPr>
            </w:pPr>
            <w:r w:rsidRPr="0045061C">
              <w:rPr>
                <w:rFonts w:ascii="Times New Roman" w:hAnsi="Times New Roman"/>
                <w:bCs/>
                <w:color w:val="000000" w:themeColor="text1"/>
                <w:sz w:val="24"/>
                <w:szCs w:val="24"/>
              </w:rPr>
              <w:t>Postgraduate</w:t>
            </w:r>
          </w:p>
        </w:tc>
        <w:tc>
          <w:tcPr>
            <w:tcW w:w="2752" w:type="dxa"/>
            <w:vAlign w:val="center"/>
          </w:tcPr>
          <w:p w14:paraId="126C2B08" w14:textId="218D8FD1" w:rsidR="00DE214D" w:rsidRPr="0045061C" w:rsidRDefault="00DE214D" w:rsidP="00356F39">
            <w:pPr>
              <w:widowControl/>
              <w:jc w:val="center"/>
              <w:rPr>
                <w:rFonts w:ascii="Times New Roman" w:eastAsia="华文楷体" w:hAnsi="Times New Roman" w:cs="Times New Roman"/>
                <w:bCs/>
                <w:color w:val="000000" w:themeColor="text1"/>
                <w:kern w:val="0"/>
                <w:sz w:val="24"/>
                <w:szCs w:val="24"/>
              </w:rPr>
            </w:pPr>
            <w:r w:rsidRPr="0045061C">
              <w:rPr>
                <w:rFonts w:ascii="Times New Roman" w:hAnsi="Times New Roman"/>
                <w:bCs/>
                <w:color w:val="000000" w:themeColor="text1"/>
                <w:sz w:val="24"/>
                <w:szCs w:val="24"/>
              </w:rPr>
              <w:t>International Business</w:t>
            </w:r>
            <w:r w:rsidR="00A67288" w:rsidRPr="0045061C">
              <w:rPr>
                <w:rFonts w:ascii="Times New Roman" w:hAnsi="Times New Roman"/>
                <w:bCs/>
                <w:color w:val="000000" w:themeColor="text1"/>
                <w:sz w:val="24"/>
                <w:szCs w:val="24"/>
              </w:rPr>
              <w:t>, Translation, etc.</w:t>
            </w:r>
          </w:p>
        </w:tc>
        <w:tc>
          <w:tcPr>
            <w:tcW w:w="1559" w:type="dxa"/>
            <w:vAlign w:val="center"/>
          </w:tcPr>
          <w:p w14:paraId="5ABB9CFC" w14:textId="7859A14A" w:rsidR="00DE214D" w:rsidRPr="0045061C" w:rsidRDefault="00A67288" w:rsidP="00356F39">
            <w:pPr>
              <w:widowControl/>
              <w:jc w:val="center"/>
              <w:rPr>
                <w:rFonts w:ascii="Times New Roman" w:eastAsia="华文楷体" w:hAnsi="Times New Roman" w:cs="Times New Roman"/>
                <w:bCs/>
                <w:color w:val="000000" w:themeColor="text1"/>
                <w:kern w:val="0"/>
                <w:sz w:val="24"/>
                <w:szCs w:val="24"/>
              </w:rPr>
            </w:pPr>
            <w:r w:rsidRPr="0045061C">
              <w:rPr>
                <w:rFonts w:ascii="Times New Roman" w:hAnsi="Times New Roman"/>
                <w:bCs/>
                <w:color w:val="000000" w:themeColor="text1"/>
                <w:sz w:val="24"/>
                <w:szCs w:val="24"/>
              </w:rPr>
              <w:t>3</w:t>
            </w:r>
          </w:p>
        </w:tc>
        <w:tc>
          <w:tcPr>
            <w:tcW w:w="1701" w:type="dxa"/>
            <w:vAlign w:val="center"/>
          </w:tcPr>
          <w:p w14:paraId="6A824989" w14:textId="77777777" w:rsidR="00DE214D" w:rsidRPr="0045061C" w:rsidRDefault="00DE214D" w:rsidP="00356F39">
            <w:pPr>
              <w:widowControl/>
              <w:jc w:val="center"/>
              <w:rPr>
                <w:rFonts w:ascii="Times New Roman" w:eastAsia="华文楷体" w:hAnsi="Times New Roman" w:cs="Times New Roman"/>
                <w:bCs/>
                <w:color w:val="000000" w:themeColor="text1"/>
                <w:kern w:val="0"/>
                <w:sz w:val="24"/>
                <w:szCs w:val="24"/>
              </w:rPr>
            </w:pPr>
            <w:r w:rsidRPr="0045061C">
              <w:rPr>
                <w:rFonts w:ascii="Times New Roman" w:hAnsi="Times New Roman"/>
                <w:bCs/>
                <w:color w:val="000000" w:themeColor="text1"/>
                <w:sz w:val="24"/>
                <w:szCs w:val="24"/>
              </w:rPr>
              <w:t>English</w:t>
            </w:r>
          </w:p>
        </w:tc>
      </w:tr>
      <w:tr w:rsidR="0045061C" w:rsidRPr="0045061C" w14:paraId="68C52338" w14:textId="77777777" w:rsidTr="00A67288">
        <w:trPr>
          <w:trHeight w:val="612"/>
          <w:jc w:val="center"/>
        </w:trPr>
        <w:tc>
          <w:tcPr>
            <w:tcW w:w="1638" w:type="dxa"/>
            <w:vAlign w:val="center"/>
          </w:tcPr>
          <w:p w14:paraId="32B81663" w14:textId="77777777" w:rsidR="00DE214D" w:rsidRPr="0045061C" w:rsidRDefault="00DE214D" w:rsidP="00356F39">
            <w:pPr>
              <w:widowControl/>
              <w:jc w:val="center"/>
              <w:rPr>
                <w:rFonts w:ascii="Times New Roman" w:eastAsia="华文楷体" w:hAnsi="Times New Roman" w:cs="Times New Roman"/>
                <w:bCs/>
                <w:color w:val="000000" w:themeColor="text1"/>
                <w:kern w:val="0"/>
                <w:sz w:val="24"/>
                <w:szCs w:val="24"/>
              </w:rPr>
            </w:pPr>
            <w:r w:rsidRPr="0045061C">
              <w:rPr>
                <w:rFonts w:ascii="Times New Roman" w:hAnsi="Times New Roman"/>
                <w:bCs/>
                <w:color w:val="000000" w:themeColor="text1"/>
                <w:sz w:val="24"/>
                <w:szCs w:val="24"/>
              </w:rPr>
              <w:t>Non-degree</w:t>
            </w:r>
          </w:p>
        </w:tc>
        <w:tc>
          <w:tcPr>
            <w:tcW w:w="2752" w:type="dxa"/>
            <w:vAlign w:val="center"/>
          </w:tcPr>
          <w:p w14:paraId="5B3FA2F0" w14:textId="77777777" w:rsidR="00DE214D" w:rsidRPr="0045061C" w:rsidRDefault="00DE214D" w:rsidP="00356F39">
            <w:pPr>
              <w:widowControl/>
              <w:jc w:val="center"/>
              <w:rPr>
                <w:rFonts w:ascii="Times New Roman" w:eastAsia="华文楷体" w:hAnsi="Times New Roman" w:cs="Times New Roman"/>
                <w:bCs/>
                <w:color w:val="000000" w:themeColor="text1"/>
                <w:kern w:val="0"/>
                <w:sz w:val="24"/>
                <w:szCs w:val="24"/>
              </w:rPr>
            </w:pPr>
            <w:r w:rsidRPr="0045061C">
              <w:rPr>
                <w:rFonts w:ascii="Times New Roman" w:hAnsi="Times New Roman"/>
                <w:bCs/>
                <w:color w:val="000000" w:themeColor="text1"/>
                <w:sz w:val="24"/>
                <w:szCs w:val="24"/>
              </w:rPr>
              <w:t>Chinese Language</w:t>
            </w:r>
          </w:p>
        </w:tc>
        <w:tc>
          <w:tcPr>
            <w:tcW w:w="1559" w:type="dxa"/>
            <w:vAlign w:val="center"/>
          </w:tcPr>
          <w:p w14:paraId="335ABC43" w14:textId="77777777" w:rsidR="00DE214D" w:rsidRPr="0045061C" w:rsidRDefault="00DE214D" w:rsidP="00356F39">
            <w:pPr>
              <w:widowControl/>
              <w:jc w:val="center"/>
              <w:rPr>
                <w:rFonts w:ascii="Times New Roman" w:eastAsia="华文楷体" w:hAnsi="Times New Roman" w:cs="Times New Roman"/>
                <w:bCs/>
                <w:color w:val="000000" w:themeColor="text1"/>
                <w:kern w:val="0"/>
                <w:sz w:val="24"/>
                <w:szCs w:val="24"/>
              </w:rPr>
            </w:pPr>
            <w:r w:rsidRPr="0045061C">
              <w:rPr>
                <w:rFonts w:ascii="Times New Roman" w:hAnsi="Times New Roman"/>
                <w:bCs/>
                <w:color w:val="000000" w:themeColor="text1"/>
                <w:sz w:val="24"/>
                <w:szCs w:val="24"/>
              </w:rPr>
              <w:t>1</w:t>
            </w:r>
          </w:p>
        </w:tc>
        <w:tc>
          <w:tcPr>
            <w:tcW w:w="1701" w:type="dxa"/>
            <w:vAlign w:val="center"/>
          </w:tcPr>
          <w:p w14:paraId="3AF51F78" w14:textId="77777777" w:rsidR="00DE214D" w:rsidRPr="0045061C" w:rsidRDefault="00DE214D" w:rsidP="00356F39">
            <w:pPr>
              <w:widowControl/>
              <w:jc w:val="center"/>
              <w:rPr>
                <w:rFonts w:ascii="Times New Roman" w:eastAsia="华文楷体" w:hAnsi="Times New Roman" w:cs="Times New Roman"/>
                <w:bCs/>
                <w:color w:val="000000" w:themeColor="text1"/>
                <w:kern w:val="0"/>
                <w:sz w:val="24"/>
                <w:szCs w:val="24"/>
              </w:rPr>
            </w:pPr>
            <w:r w:rsidRPr="0045061C">
              <w:rPr>
                <w:rFonts w:ascii="Times New Roman" w:hAnsi="Times New Roman"/>
                <w:bCs/>
                <w:color w:val="000000" w:themeColor="text1"/>
                <w:sz w:val="24"/>
                <w:szCs w:val="24"/>
              </w:rPr>
              <w:t>Chinese and English</w:t>
            </w:r>
          </w:p>
        </w:tc>
      </w:tr>
    </w:tbl>
    <w:p w14:paraId="6DE5195F" w14:textId="6F305740" w:rsidR="000D0F31" w:rsidRPr="0045061C" w:rsidRDefault="00B9510B" w:rsidP="00FC26FB">
      <w:pPr>
        <w:spacing w:line="360" w:lineRule="auto"/>
        <w:rPr>
          <w:rFonts w:ascii="Times New Roman" w:eastAsia="华文楷体" w:hAnsi="Times New Roman"/>
          <w:b/>
          <w:bCs/>
          <w:color w:val="000000" w:themeColor="text1"/>
          <w:sz w:val="30"/>
          <w:szCs w:val="30"/>
        </w:rPr>
      </w:pPr>
      <w:r w:rsidRPr="0045061C">
        <w:rPr>
          <w:rFonts w:ascii="Times New Roman" w:hAnsi="Times New Roman"/>
          <w:b/>
          <w:bCs/>
          <w:color w:val="000000" w:themeColor="text1"/>
          <w:sz w:val="30"/>
          <w:szCs w:val="30"/>
        </w:rPr>
        <w:t>III</w:t>
      </w:r>
      <w:r w:rsidRPr="0045061C">
        <w:rPr>
          <w:rFonts w:ascii="Times New Roman" w:hAnsi="Times New Roman"/>
          <w:b/>
          <w:bCs/>
          <w:color w:val="000000" w:themeColor="text1"/>
          <w:sz w:val="30"/>
          <w:szCs w:val="30"/>
        </w:rPr>
        <w:tab/>
      </w:r>
      <w:r w:rsidR="002D6A6E" w:rsidRPr="0045061C">
        <w:rPr>
          <w:rFonts w:ascii="Times New Roman" w:hAnsi="Times New Roman"/>
          <w:b/>
          <w:bCs/>
          <w:color w:val="000000" w:themeColor="text1"/>
          <w:sz w:val="30"/>
          <w:szCs w:val="30"/>
        </w:rPr>
        <w:t>Application Requirements</w:t>
      </w:r>
    </w:p>
    <w:p w14:paraId="090B3F49" w14:textId="77777777" w:rsidR="000D0F31" w:rsidRPr="0045061C" w:rsidRDefault="002D6A6E" w:rsidP="00FC26FB">
      <w:pPr>
        <w:spacing w:line="440" w:lineRule="exact"/>
        <w:ind w:firstLineChars="200" w:firstLine="562"/>
        <w:rPr>
          <w:rFonts w:ascii="Times New Roman" w:eastAsia="华文楷体" w:hAnsi="Times New Roman"/>
          <w:b/>
          <w:bCs/>
          <w:color w:val="000000" w:themeColor="text1"/>
          <w:sz w:val="32"/>
          <w:szCs w:val="32"/>
        </w:rPr>
      </w:pPr>
      <w:r w:rsidRPr="0045061C">
        <w:rPr>
          <w:rFonts w:ascii="Times New Roman" w:hAnsi="Times New Roman"/>
          <w:b/>
          <w:bCs/>
          <w:color w:val="000000" w:themeColor="text1"/>
          <w:sz w:val="28"/>
          <w:szCs w:val="28"/>
        </w:rPr>
        <w:t>(I) Application Qualification</w:t>
      </w:r>
    </w:p>
    <w:p w14:paraId="0F878B0B"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1. Non-Chinese citizens who are over 18 years old as of June 1, 2023, sound in body and mind, and well-conducted;</w:t>
      </w:r>
    </w:p>
    <w:p w14:paraId="5DEDEF53"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2. Non-Chinese citizens who abide by the laws of the Chinese government and rules &amp; regulations of HUTB, respect Chinese customs and habits, and are excellent for academic performance.</w:t>
      </w:r>
    </w:p>
    <w:p w14:paraId="0C032430" w14:textId="77777777" w:rsidR="000D0F31" w:rsidRPr="0045061C" w:rsidRDefault="002D6A6E" w:rsidP="00FC26FB">
      <w:pPr>
        <w:spacing w:line="440" w:lineRule="exact"/>
        <w:ind w:firstLineChars="200" w:firstLine="562"/>
        <w:rPr>
          <w:rFonts w:ascii="Times New Roman" w:eastAsia="华文楷体" w:hAnsi="Times New Roman" w:cs="Times New Roman"/>
          <w:b/>
          <w:bCs/>
          <w:color w:val="000000" w:themeColor="text1"/>
          <w:sz w:val="28"/>
          <w:szCs w:val="28"/>
        </w:rPr>
      </w:pPr>
      <w:r w:rsidRPr="0045061C">
        <w:rPr>
          <w:rFonts w:ascii="Times New Roman" w:hAnsi="Times New Roman"/>
          <w:b/>
          <w:bCs/>
          <w:color w:val="000000" w:themeColor="text1"/>
          <w:sz w:val="28"/>
          <w:szCs w:val="28"/>
        </w:rPr>
        <w:t>(II) Application Materials</w:t>
      </w:r>
    </w:p>
    <w:p w14:paraId="6F900187"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1. Application form for international students studying at HUTB;</w:t>
      </w:r>
    </w:p>
    <w:p w14:paraId="02978BD0"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2. Bareheaded photo (3.5 cm × 5.3 cm, color)</w:t>
      </w:r>
    </w:p>
    <w:p w14:paraId="0ADB501B"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3. Valid ordinary passport (its remaining validity period shall be no less than 12 months)</w:t>
      </w:r>
    </w:p>
    <w:p w14:paraId="1A9CCF5D"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4. Physical examination record (within the validity period of half a year)</w:t>
      </w:r>
    </w:p>
    <w:p w14:paraId="0CCBEC0F"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5. Certificate of no criminal record (within the validity period of half a year, and with notarized Chinese/English translations for texts other than Chinese/English)</w:t>
      </w:r>
    </w:p>
    <w:p w14:paraId="062BB868"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6. Highest diploma</w:t>
      </w:r>
    </w:p>
    <w:p w14:paraId="564E2B69" w14:textId="77D27966"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7. Academic t</w:t>
      </w:r>
      <w:r w:rsidR="00A67288" w:rsidRPr="0045061C">
        <w:rPr>
          <w:rFonts w:ascii="Times New Roman" w:hAnsi="Times New Roman"/>
          <w:color w:val="000000" w:themeColor="text1"/>
          <w:sz w:val="24"/>
          <w:szCs w:val="28"/>
        </w:rPr>
        <w:t>ranscripts (for postgraduate</w:t>
      </w:r>
      <w:r w:rsidRPr="0045061C">
        <w:rPr>
          <w:rFonts w:ascii="Times New Roman" w:hAnsi="Times New Roman"/>
          <w:color w:val="000000" w:themeColor="text1"/>
          <w:sz w:val="24"/>
          <w:szCs w:val="28"/>
        </w:rPr>
        <w:t>)</w:t>
      </w:r>
    </w:p>
    <w:p w14:paraId="0FE43121" w14:textId="7A90A0A1"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lastRenderedPageBreak/>
        <w:t>8. English proficiency c</w:t>
      </w:r>
      <w:r w:rsidR="00A67288" w:rsidRPr="0045061C">
        <w:rPr>
          <w:rFonts w:ascii="Times New Roman" w:hAnsi="Times New Roman"/>
          <w:color w:val="000000" w:themeColor="text1"/>
          <w:sz w:val="24"/>
          <w:szCs w:val="28"/>
        </w:rPr>
        <w:t>ertificate (for postgraduate</w:t>
      </w:r>
      <w:r w:rsidRPr="0045061C">
        <w:rPr>
          <w:rFonts w:ascii="Times New Roman" w:hAnsi="Times New Roman"/>
          <w:color w:val="000000" w:themeColor="text1"/>
          <w:sz w:val="24"/>
          <w:szCs w:val="28"/>
        </w:rPr>
        <w:t>)</w:t>
      </w:r>
    </w:p>
    <w:p w14:paraId="403D6FD8"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9. Study Plan at HUTB (for postgraduate)</w:t>
      </w:r>
    </w:p>
    <w:p w14:paraId="0FF8756F"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 xml:space="preserve">10. Recommendation letters from two professors or associate professors (for postgraduate) </w:t>
      </w:r>
    </w:p>
    <w:p w14:paraId="49BDCD22"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 xml:space="preserve">11. Proof of economic conditions (guarantee certificates to pay tuition, accommodation and living expenses for studying at HUTB, and the work or income certificate of the financial guarantor and a copy of passport) </w:t>
      </w:r>
    </w:p>
    <w:p w14:paraId="117378D5"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12. Student who is currently working or studying or has ever worked or studied in China shall provide corresponding supporting materials. In addition, other documents that can prove the academic ability and comprehensive quality of the applicant may be submitted.</w:t>
      </w:r>
    </w:p>
    <w:p w14:paraId="15EF30F0" w14:textId="77777777" w:rsidR="000D0F31" w:rsidRPr="0045061C" w:rsidRDefault="002D6A6E" w:rsidP="00FC26FB">
      <w:pPr>
        <w:spacing w:line="440" w:lineRule="exact"/>
        <w:ind w:firstLineChars="200" w:firstLine="562"/>
        <w:rPr>
          <w:rFonts w:ascii="Times New Roman" w:eastAsia="华文楷体" w:hAnsi="Times New Roman" w:cs="Times New Roman"/>
          <w:b/>
          <w:bCs/>
          <w:color w:val="000000" w:themeColor="text1"/>
          <w:sz w:val="24"/>
          <w:szCs w:val="24"/>
        </w:rPr>
      </w:pPr>
      <w:r w:rsidRPr="0045061C">
        <w:rPr>
          <w:rFonts w:ascii="Times New Roman" w:hAnsi="Times New Roman"/>
          <w:b/>
          <w:bCs/>
          <w:color w:val="000000" w:themeColor="text1"/>
          <w:sz w:val="28"/>
          <w:szCs w:val="28"/>
        </w:rPr>
        <w:t>(III) English Requirements</w:t>
      </w:r>
    </w:p>
    <w:p w14:paraId="14352B73"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 xml:space="preserve"> Non-English-speaking students for postgraduate and undergraduate shall provide IELTS (score at 5.5 or above) or TOEFL (score at 50 or above) or equivalent English proﬁciency certiﬁcates or high school English learning certiﬁcate.</w:t>
      </w:r>
    </w:p>
    <w:p w14:paraId="56D0A076" w14:textId="5CCBDC79" w:rsidR="000D0F31" w:rsidRPr="0045061C" w:rsidRDefault="002D6A6E" w:rsidP="00FC26FB">
      <w:pPr>
        <w:ind w:firstLineChars="200" w:firstLine="562"/>
        <w:rPr>
          <w:rFonts w:ascii="Times New Roman" w:eastAsia="华文楷体" w:hAnsi="Times New Roman" w:cs="Times New Roman"/>
          <w:b/>
          <w:color w:val="000000" w:themeColor="text1"/>
          <w:sz w:val="28"/>
          <w:szCs w:val="28"/>
        </w:rPr>
      </w:pPr>
      <w:r w:rsidRPr="0045061C">
        <w:rPr>
          <w:rFonts w:ascii="Times New Roman" w:hAnsi="Times New Roman"/>
          <w:b/>
          <w:color w:val="000000" w:themeColor="text1"/>
          <w:sz w:val="28"/>
          <w:szCs w:val="28"/>
        </w:rPr>
        <w:t xml:space="preserve">(IV) </w:t>
      </w:r>
      <w:r w:rsidR="00356F39" w:rsidRPr="0045061C">
        <w:rPr>
          <w:rFonts w:ascii="Times New Roman" w:hAnsi="Times New Roman" w:hint="eastAsia"/>
          <w:b/>
          <w:color w:val="000000" w:themeColor="text1"/>
          <w:sz w:val="28"/>
          <w:szCs w:val="28"/>
        </w:rPr>
        <w:t>O</w:t>
      </w:r>
      <w:r w:rsidR="00356F39" w:rsidRPr="0045061C">
        <w:rPr>
          <w:rFonts w:ascii="Times New Roman" w:hAnsi="Times New Roman"/>
          <w:b/>
          <w:color w:val="000000" w:themeColor="text1"/>
          <w:sz w:val="28"/>
          <w:szCs w:val="28"/>
        </w:rPr>
        <w:t>thers</w:t>
      </w:r>
    </w:p>
    <w:p w14:paraId="1CA8A5DD" w14:textId="77777777" w:rsidR="000D0F31" w:rsidRPr="0045061C" w:rsidRDefault="002D6A6E" w:rsidP="00FC26FB">
      <w:pPr>
        <w:spacing w:line="400" w:lineRule="exact"/>
        <w:ind w:firstLine="480"/>
        <w:rPr>
          <w:rFonts w:ascii="Times New Roman" w:eastAsia="华文楷体" w:hAnsi="Times New Roman" w:cs="Times New Roman"/>
          <w:color w:val="000000" w:themeColor="text1"/>
          <w:sz w:val="24"/>
          <w:szCs w:val="24"/>
        </w:rPr>
      </w:pPr>
      <w:r w:rsidRPr="0045061C">
        <w:rPr>
          <w:rFonts w:ascii="Times New Roman" w:hAnsi="Times New Roman"/>
          <w:color w:val="000000" w:themeColor="text1"/>
          <w:sz w:val="24"/>
          <w:szCs w:val="24"/>
        </w:rPr>
        <w:t>HUTB will conduct an interview or a professional reexamination for those who pass the preliminary examination. Those who fail the interview or professional reexamination will not be admitted.</w:t>
      </w:r>
    </w:p>
    <w:p w14:paraId="6465EC24" w14:textId="77777777" w:rsidR="000D0F31" w:rsidRPr="0045061C" w:rsidRDefault="002D6A6E" w:rsidP="00FC26FB">
      <w:pPr>
        <w:pStyle w:val="Style1"/>
        <w:spacing w:after="0" w:line="240" w:lineRule="auto"/>
        <w:ind w:firstLineChars="0" w:firstLine="0"/>
        <w:rPr>
          <w:rFonts w:ascii="Times New Roman" w:eastAsia="华文楷体" w:hAnsi="Times New Roman"/>
          <w:b/>
          <w:bCs/>
          <w:color w:val="000000" w:themeColor="text1"/>
          <w:sz w:val="30"/>
          <w:szCs w:val="30"/>
        </w:rPr>
      </w:pPr>
      <w:r w:rsidRPr="0045061C">
        <w:rPr>
          <w:rFonts w:ascii="Times New Roman" w:hAnsi="Times New Roman"/>
          <w:b/>
          <w:bCs/>
          <w:color w:val="000000" w:themeColor="text1"/>
          <w:sz w:val="30"/>
          <w:szCs w:val="30"/>
        </w:rPr>
        <w:t>IV. Deadline for Application</w:t>
      </w:r>
    </w:p>
    <w:p w14:paraId="3521076E" w14:textId="4D625B83" w:rsidR="000D0F31" w:rsidRPr="0045061C" w:rsidRDefault="002D6A6E" w:rsidP="00FC26FB">
      <w:pPr>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June 30, 202</w:t>
      </w:r>
      <w:r w:rsidR="00A67288" w:rsidRPr="0045061C">
        <w:rPr>
          <w:rFonts w:ascii="Times New Roman" w:hAnsi="Times New Roman"/>
          <w:color w:val="000000" w:themeColor="text1"/>
          <w:sz w:val="24"/>
          <w:szCs w:val="28"/>
        </w:rPr>
        <w:t>4</w:t>
      </w:r>
      <w:r w:rsidRPr="0045061C">
        <w:rPr>
          <w:rFonts w:ascii="Times New Roman" w:hAnsi="Times New Roman"/>
          <w:color w:val="000000" w:themeColor="text1"/>
          <w:sz w:val="24"/>
          <w:szCs w:val="28"/>
        </w:rPr>
        <w:t xml:space="preserve"> (fall semester admission)</w:t>
      </w:r>
    </w:p>
    <w:p w14:paraId="4F26E572" w14:textId="77777777" w:rsidR="000D0F31" w:rsidRPr="0045061C" w:rsidRDefault="002D6A6E" w:rsidP="00FC26FB">
      <w:pPr>
        <w:pStyle w:val="Style1"/>
        <w:spacing w:after="0" w:line="240" w:lineRule="auto"/>
        <w:ind w:firstLineChars="0" w:firstLine="0"/>
        <w:rPr>
          <w:rFonts w:ascii="Times New Roman" w:eastAsia="华文楷体" w:hAnsi="Times New Roman"/>
          <w:b/>
          <w:bCs/>
          <w:color w:val="000000" w:themeColor="text1"/>
          <w:sz w:val="30"/>
          <w:szCs w:val="30"/>
        </w:rPr>
      </w:pPr>
      <w:r w:rsidRPr="0045061C">
        <w:rPr>
          <w:rFonts w:ascii="Times New Roman" w:hAnsi="Times New Roman"/>
          <w:b/>
          <w:bCs/>
          <w:color w:val="000000" w:themeColor="text1"/>
          <w:sz w:val="30"/>
          <w:szCs w:val="30"/>
        </w:rPr>
        <w:t>V.</w:t>
      </w:r>
      <w:r w:rsidRPr="0045061C">
        <w:rPr>
          <w:rFonts w:ascii="Times New Roman" w:hAnsi="Times New Roman"/>
          <w:b/>
          <w:bCs/>
          <w:color w:val="000000" w:themeColor="text1"/>
          <w:sz w:val="30"/>
          <w:szCs w:val="30"/>
        </w:rPr>
        <w:tab/>
        <w:t>Fee Structure</w:t>
      </w:r>
    </w:p>
    <w:p w14:paraId="223D2221" w14:textId="77777777" w:rsidR="000D0F31" w:rsidRPr="0045061C" w:rsidRDefault="002D6A6E" w:rsidP="00FC26FB">
      <w:pPr>
        <w:spacing w:line="400" w:lineRule="exact"/>
        <w:ind w:firstLineChars="200" w:firstLine="422"/>
        <w:rPr>
          <w:rFonts w:ascii="Times New Roman" w:eastAsia="华文楷体" w:hAnsi="Times New Roman" w:cs="Times New Roman"/>
          <w:b/>
          <w:bCs/>
          <w:color w:val="000000" w:themeColor="text1"/>
          <w:sz w:val="36"/>
          <w:szCs w:val="36"/>
        </w:rPr>
      </w:pPr>
      <w:r w:rsidRPr="0045061C">
        <w:rPr>
          <w:rFonts w:ascii="Times New Roman" w:hAnsi="Times New Roman"/>
          <w:b/>
          <w:bCs/>
          <w:color w:val="000000" w:themeColor="text1"/>
          <w:szCs w:val="28"/>
        </w:rPr>
        <w:t>Registration:</w:t>
      </w:r>
      <w:r w:rsidRPr="0045061C">
        <w:rPr>
          <w:rFonts w:ascii="Times New Roman" w:hAnsi="Times New Roman"/>
          <w:color w:val="000000" w:themeColor="text1"/>
          <w:szCs w:val="28"/>
        </w:rPr>
        <w:t xml:space="preserve"> RMB500/person</w:t>
      </w:r>
    </w:p>
    <w:p w14:paraId="1E530C0E" w14:textId="51AC3D16" w:rsidR="000D0F31" w:rsidRPr="0045061C" w:rsidRDefault="002D6A6E" w:rsidP="00FC26FB">
      <w:pPr>
        <w:spacing w:line="400" w:lineRule="exact"/>
        <w:ind w:firstLineChars="200" w:firstLine="422"/>
        <w:rPr>
          <w:rFonts w:ascii="Times New Roman" w:eastAsia="华文楷体" w:hAnsi="Times New Roman" w:cs="Times New Roman"/>
          <w:color w:val="000000" w:themeColor="text1"/>
        </w:rPr>
      </w:pPr>
      <w:r w:rsidRPr="0045061C">
        <w:rPr>
          <w:rFonts w:ascii="Times New Roman" w:hAnsi="Times New Roman"/>
          <w:b/>
          <w:bCs/>
          <w:color w:val="000000" w:themeColor="text1"/>
          <w:szCs w:val="28"/>
        </w:rPr>
        <w:t>Accommodation:</w:t>
      </w:r>
      <w:r w:rsidRPr="0045061C">
        <w:rPr>
          <w:rFonts w:ascii="Times New Roman" w:hAnsi="Times New Roman"/>
          <w:color w:val="000000" w:themeColor="text1"/>
          <w:szCs w:val="28"/>
        </w:rPr>
        <w:t xml:space="preserve"> </w:t>
      </w:r>
      <w:r w:rsidR="003B1D4F" w:rsidRPr="0045061C">
        <w:rPr>
          <w:rFonts w:ascii="Times New Roman" w:hAnsi="Times New Roman" w:hint="eastAsia"/>
          <w:color w:val="000000" w:themeColor="text1"/>
          <w:szCs w:val="28"/>
        </w:rPr>
        <w:t>twin</w:t>
      </w:r>
      <w:r w:rsidR="003B1D4F" w:rsidRPr="0045061C">
        <w:rPr>
          <w:rFonts w:ascii="Times New Roman" w:hAnsi="Times New Roman"/>
          <w:color w:val="000000" w:themeColor="text1"/>
          <w:szCs w:val="28"/>
        </w:rPr>
        <w:t xml:space="preserve"> </w:t>
      </w:r>
      <w:r w:rsidRPr="0045061C">
        <w:rPr>
          <w:rFonts w:ascii="Times New Roman" w:hAnsi="Times New Roman"/>
          <w:color w:val="000000" w:themeColor="text1"/>
          <w:szCs w:val="28"/>
        </w:rPr>
        <w:t xml:space="preserve">room: RMB3,000/year; </w:t>
      </w:r>
      <w:r w:rsidR="00B9510B" w:rsidRPr="0045061C">
        <w:rPr>
          <w:rFonts w:ascii="Times New Roman" w:hAnsi="Times New Roman"/>
          <w:color w:val="000000" w:themeColor="text1"/>
          <w:szCs w:val="28"/>
        </w:rPr>
        <w:t>q</w:t>
      </w:r>
      <w:r w:rsidRPr="0045061C">
        <w:rPr>
          <w:rFonts w:ascii="Times New Roman" w:hAnsi="Times New Roman"/>
          <w:color w:val="000000" w:themeColor="text1"/>
          <w:szCs w:val="28"/>
        </w:rPr>
        <w:t>uadruple room: RMB1,500/year</w:t>
      </w:r>
    </w:p>
    <w:p w14:paraId="7302342C" w14:textId="77777777" w:rsidR="000D0F31" w:rsidRPr="0045061C" w:rsidRDefault="002D6A6E" w:rsidP="00FC26FB">
      <w:pPr>
        <w:spacing w:line="400" w:lineRule="exact"/>
        <w:ind w:firstLineChars="200" w:firstLine="422"/>
        <w:rPr>
          <w:rFonts w:ascii="Times New Roman" w:eastAsia="华文楷体" w:hAnsi="Times New Roman" w:cs="Times New Roman"/>
          <w:b/>
          <w:bCs/>
          <w:color w:val="000000" w:themeColor="text1"/>
          <w:sz w:val="28"/>
          <w:szCs w:val="28"/>
        </w:rPr>
      </w:pPr>
      <w:r w:rsidRPr="0045061C">
        <w:rPr>
          <w:rFonts w:ascii="Times New Roman" w:hAnsi="Times New Roman"/>
          <w:b/>
          <w:bCs/>
          <w:color w:val="000000" w:themeColor="text1"/>
          <w:szCs w:val="28"/>
        </w:rPr>
        <w:t>Insurance:</w:t>
      </w:r>
      <w:r w:rsidRPr="0045061C">
        <w:rPr>
          <w:rFonts w:ascii="Times New Roman" w:hAnsi="Times New Roman"/>
          <w:color w:val="000000" w:themeColor="text1"/>
          <w:szCs w:val="28"/>
        </w:rPr>
        <w:t xml:space="preserve"> RMB800/person/year </w:t>
      </w:r>
    </w:p>
    <w:p w14:paraId="369879F1" w14:textId="77777777" w:rsidR="000D0F31" w:rsidRPr="0045061C" w:rsidRDefault="002D6A6E" w:rsidP="00A67288">
      <w:pPr>
        <w:spacing w:line="400" w:lineRule="exact"/>
        <w:ind w:firstLineChars="200" w:firstLine="422"/>
        <w:rPr>
          <w:rFonts w:ascii="Times New Roman" w:hAnsi="Times New Roman"/>
          <w:b/>
          <w:bCs/>
          <w:color w:val="000000" w:themeColor="text1"/>
          <w:szCs w:val="28"/>
        </w:rPr>
      </w:pPr>
      <w:r w:rsidRPr="0045061C">
        <w:rPr>
          <w:rFonts w:ascii="Times New Roman" w:hAnsi="Times New Roman"/>
          <w:b/>
          <w:bCs/>
          <w:color w:val="000000" w:themeColor="text1"/>
          <w:szCs w:val="28"/>
        </w:rPr>
        <w:t>Tuition:</w:t>
      </w:r>
    </w:p>
    <w:p w14:paraId="72CFF5B6"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Postgraduate program: RMB24,000/year</w:t>
      </w:r>
    </w:p>
    <w:p w14:paraId="2F122C59"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Chinese language program: RMB11,000/year</w:t>
      </w:r>
    </w:p>
    <w:p w14:paraId="673C1517" w14:textId="77777777" w:rsidR="000D0F31" w:rsidRPr="0045061C" w:rsidRDefault="002D6A6E" w:rsidP="00FC26FB">
      <w:pPr>
        <w:pStyle w:val="Style1"/>
        <w:spacing w:after="0" w:line="240" w:lineRule="auto"/>
        <w:ind w:firstLineChars="0" w:firstLine="0"/>
        <w:rPr>
          <w:rFonts w:ascii="Times New Roman" w:eastAsia="华文楷体" w:hAnsi="Times New Roman"/>
          <w:b/>
          <w:bCs/>
          <w:color w:val="000000" w:themeColor="text1"/>
          <w:sz w:val="30"/>
          <w:szCs w:val="30"/>
        </w:rPr>
      </w:pPr>
      <w:r w:rsidRPr="0045061C">
        <w:rPr>
          <w:rFonts w:ascii="Times New Roman" w:hAnsi="Times New Roman"/>
          <w:b/>
          <w:bCs/>
          <w:color w:val="000000" w:themeColor="text1"/>
          <w:sz w:val="30"/>
          <w:szCs w:val="30"/>
        </w:rPr>
        <w:t>VI.</w:t>
      </w:r>
      <w:r w:rsidRPr="0045061C">
        <w:rPr>
          <w:rFonts w:ascii="Times New Roman" w:hAnsi="Times New Roman"/>
          <w:b/>
          <w:bCs/>
          <w:color w:val="000000" w:themeColor="text1"/>
          <w:sz w:val="30"/>
          <w:szCs w:val="30"/>
        </w:rPr>
        <w:tab/>
        <w:t>Scholarship</w:t>
      </w:r>
    </w:p>
    <w:p w14:paraId="07020D7E"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1. Scholarship for international students studying in Hunan Province</w:t>
      </w:r>
    </w:p>
    <w:p w14:paraId="74CC5118" w14:textId="6A801869"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lastRenderedPageBreak/>
        <w:t>Hunan Provincial Government provides scholarship for several outstanding students per year.</w:t>
      </w:r>
    </w:p>
    <w:p w14:paraId="5D4FFA02" w14:textId="77777777" w:rsidR="000D0F31" w:rsidRPr="0045061C" w:rsidRDefault="002D6A6E" w:rsidP="00FC26FB">
      <w:pPr>
        <w:numPr>
          <w:ilvl w:val="0"/>
          <w:numId w:val="2"/>
        </w:num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Scholarship for Chinese language learning students from the countries along “The Belt and Road”</w:t>
      </w:r>
    </w:p>
    <w:p w14:paraId="6036F4F8"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Hunan Provincial Government provides scholarship of an academic year for outstanding students from the countries along “The Belt and Road”</w:t>
      </w:r>
    </w:p>
    <w:p w14:paraId="3760AA8E" w14:textId="77777777" w:rsidR="000D0F31" w:rsidRPr="0045061C" w:rsidRDefault="002D6A6E" w:rsidP="00FC26FB">
      <w:pPr>
        <w:numPr>
          <w:ilvl w:val="0"/>
          <w:numId w:val="2"/>
        </w:num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HUTB International Students Inclusive Scholarship</w:t>
      </w:r>
    </w:p>
    <w:p w14:paraId="127BE8F9" w14:textId="0626CA83"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rPr>
      </w:pPr>
      <w:r w:rsidRPr="0045061C">
        <w:rPr>
          <w:rFonts w:ascii="Times New Roman" w:hAnsi="Times New Roman"/>
          <w:color w:val="000000" w:themeColor="text1"/>
          <w:sz w:val="24"/>
          <w:szCs w:val="28"/>
        </w:rPr>
        <w:t>HUTB provides scholarship for outstanding international students</w:t>
      </w:r>
      <w:r w:rsidR="00B9510B" w:rsidRPr="0045061C">
        <w:rPr>
          <w:rFonts w:ascii="Times New Roman" w:hAnsi="Times New Roman"/>
          <w:color w:val="000000" w:themeColor="text1"/>
          <w:sz w:val="24"/>
          <w:szCs w:val="28"/>
        </w:rPr>
        <w:t xml:space="preserve"> a</w:t>
      </w:r>
      <w:r w:rsidRPr="0045061C">
        <w:rPr>
          <w:rFonts w:ascii="Times New Roman" w:hAnsi="Times New Roman"/>
          <w:color w:val="000000" w:themeColor="text1"/>
          <w:sz w:val="24"/>
          <w:szCs w:val="28"/>
        </w:rPr>
        <w:t xml:space="preserve">ccording to the performance of </w:t>
      </w:r>
      <w:r w:rsidR="003B1D4F" w:rsidRPr="0045061C">
        <w:rPr>
          <w:rFonts w:ascii="Times New Roman" w:hAnsi="Times New Roman" w:hint="eastAsia"/>
          <w:color w:val="000000" w:themeColor="text1"/>
          <w:sz w:val="24"/>
          <w:szCs w:val="28"/>
        </w:rPr>
        <w:t>each</w:t>
      </w:r>
      <w:r w:rsidR="003B1D4F" w:rsidRPr="0045061C">
        <w:rPr>
          <w:rFonts w:ascii="Times New Roman" w:hAnsi="Times New Roman"/>
          <w:color w:val="000000" w:themeColor="text1"/>
          <w:sz w:val="24"/>
          <w:szCs w:val="28"/>
        </w:rPr>
        <w:t xml:space="preserve"> </w:t>
      </w:r>
      <w:r w:rsidRPr="0045061C">
        <w:rPr>
          <w:rFonts w:ascii="Times New Roman" w:hAnsi="Times New Roman"/>
          <w:color w:val="000000" w:themeColor="text1"/>
          <w:sz w:val="24"/>
          <w:szCs w:val="28"/>
        </w:rPr>
        <w:t>student</w:t>
      </w:r>
      <w:r w:rsidR="00B9510B" w:rsidRPr="0045061C">
        <w:rPr>
          <w:rFonts w:ascii="Times New Roman" w:hAnsi="Times New Roman"/>
          <w:color w:val="000000" w:themeColor="text1"/>
          <w:sz w:val="24"/>
          <w:szCs w:val="28"/>
        </w:rPr>
        <w:t>.</w:t>
      </w:r>
      <w:r w:rsidRPr="0045061C">
        <w:rPr>
          <w:rFonts w:ascii="Times New Roman" w:hAnsi="Times New Roman"/>
          <w:color w:val="000000" w:themeColor="text1"/>
          <w:sz w:val="24"/>
          <w:szCs w:val="28"/>
        </w:rPr>
        <w:t xml:space="preserve"> Chin</w:t>
      </w:r>
      <w:r w:rsidR="00A67288" w:rsidRPr="0045061C">
        <w:rPr>
          <w:rFonts w:ascii="Times New Roman" w:hAnsi="Times New Roman"/>
          <w:color w:val="000000" w:themeColor="text1"/>
          <w:sz w:val="24"/>
          <w:szCs w:val="28"/>
        </w:rPr>
        <w:t xml:space="preserve">ese language learning students </w:t>
      </w:r>
      <w:r w:rsidRPr="0045061C">
        <w:rPr>
          <w:rFonts w:ascii="Times New Roman" w:hAnsi="Times New Roman"/>
          <w:color w:val="000000" w:themeColor="text1"/>
          <w:sz w:val="24"/>
          <w:szCs w:val="28"/>
        </w:rPr>
        <w:t xml:space="preserve">and postgraduates may receive </w:t>
      </w:r>
      <w:r w:rsidR="00A67288" w:rsidRPr="0045061C">
        <w:rPr>
          <w:rFonts w:ascii="Times New Roman" w:hAnsi="Times New Roman"/>
          <w:color w:val="000000" w:themeColor="text1"/>
          <w:sz w:val="24"/>
          <w:szCs w:val="28"/>
        </w:rPr>
        <w:t xml:space="preserve">scholarships of up to RMB5,500 </w:t>
      </w:r>
      <w:r w:rsidRPr="0045061C">
        <w:rPr>
          <w:rFonts w:ascii="Times New Roman" w:hAnsi="Times New Roman"/>
          <w:color w:val="000000" w:themeColor="text1"/>
          <w:sz w:val="24"/>
          <w:szCs w:val="28"/>
        </w:rPr>
        <w:t>and RMB16,800 respectively.</w:t>
      </w:r>
    </w:p>
    <w:p w14:paraId="36A554B3" w14:textId="77777777" w:rsidR="000D0F31" w:rsidRPr="0045061C" w:rsidRDefault="002D6A6E" w:rsidP="00FC26FB">
      <w:pPr>
        <w:pStyle w:val="Style1"/>
        <w:spacing w:after="0" w:line="240" w:lineRule="auto"/>
        <w:ind w:firstLineChars="0" w:firstLine="0"/>
        <w:rPr>
          <w:rFonts w:ascii="Times New Roman" w:eastAsia="华文楷体" w:hAnsi="Times New Roman"/>
          <w:b/>
          <w:bCs/>
          <w:color w:val="000000" w:themeColor="text1"/>
          <w:sz w:val="30"/>
          <w:szCs w:val="30"/>
        </w:rPr>
      </w:pPr>
      <w:r w:rsidRPr="0045061C">
        <w:rPr>
          <w:rFonts w:ascii="Times New Roman" w:hAnsi="Times New Roman"/>
          <w:b/>
          <w:bCs/>
          <w:color w:val="000000" w:themeColor="text1"/>
          <w:sz w:val="30"/>
          <w:szCs w:val="30"/>
        </w:rPr>
        <w:t>VII.</w:t>
      </w:r>
      <w:r w:rsidRPr="0045061C">
        <w:rPr>
          <w:rFonts w:ascii="Times New Roman" w:hAnsi="Times New Roman"/>
          <w:b/>
          <w:bCs/>
          <w:color w:val="000000" w:themeColor="text1"/>
          <w:sz w:val="30"/>
          <w:szCs w:val="30"/>
        </w:rPr>
        <w:tab/>
        <w:t>Contacts</w:t>
      </w:r>
    </w:p>
    <w:p w14:paraId="7FAF325D" w14:textId="2426D731"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 xml:space="preserve">Address: </w:t>
      </w:r>
      <w:r w:rsidR="003B1D4F" w:rsidRPr="0045061C">
        <w:rPr>
          <w:rFonts w:ascii="Times New Roman" w:hAnsi="Times New Roman"/>
          <w:color w:val="000000" w:themeColor="text1"/>
          <w:sz w:val="24"/>
          <w:szCs w:val="28"/>
        </w:rPr>
        <w:t>HUTB International Exchange and Cooperation Ofﬁce</w:t>
      </w:r>
      <w:r w:rsidRPr="0045061C">
        <w:rPr>
          <w:rFonts w:ascii="Times New Roman" w:hAnsi="Times New Roman"/>
          <w:color w:val="000000" w:themeColor="text1"/>
          <w:sz w:val="24"/>
          <w:szCs w:val="28"/>
        </w:rPr>
        <w:t>, No. 569 Yuelu Avenue, Yuelu District, Changsha City, Hunan Province, P. R. China</w:t>
      </w:r>
    </w:p>
    <w:p w14:paraId="7F2C03BB"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Zip code: 410205</w:t>
      </w:r>
    </w:p>
    <w:p w14:paraId="56981724"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Tel: 0731-88650660</w:t>
      </w:r>
    </w:p>
    <w:p w14:paraId="23BCA3CF"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8"/>
        </w:rPr>
      </w:pPr>
      <w:r w:rsidRPr="0045061C">
        <w:rPr>
          <w:rFonts w:ascii="Times New Roman" w:hAnsi="Times New Roman"/>
          <w:color w:val="000000" w:themeColor="text1"/>
          <w:sz w:val="24"/>
          <w:szCs w:val="28"/>
        </w:rPr>
        <w:t>E-mail: gjjl@hutb.edu.cn</w:t>
      </w:r>
    </w:p>
    <w:p w14:paraId="16E50CFA" w14:textId="77777777" w:rsidR="000D0F31" w:rsidRPr="0045061C" w:rsidRDefault="002D6A6E" w:rsidP="00FC26FB">
      <w:pPr>
        <w:spacing w:line="440" w:lineRule="exact"/>
        <w:ind w:firstLineChars="200" w:firstLine="480"/>
        <w:rPr>
          <w:rFonts w:ascii="Times New Roman" w:eastAsia="华文楷体" w:hAnsi="Times New Roman" w:cs="Times New Roman"/>
          <w:color w:val="000000" w:themeColor="text1"/>
          <w:sz w:val="24"/>
          <w:szCs w:val="24"/>
        </w:rPr>
      </w:pPr>
      <w:r w:rsidRPr="0045061C">
        <w:rPr>
          <w:rFonts w:ascii="Times New Roman" w:hAnsi="Times New Roman" w:cs="Times New Roman"/>
          <w:color w:val="000000" w:themeColor="text1"/>
          <w:sz w:val="24"/>
          <w:szCs w:val="24"/>
        </w:rPr>
        <w:t>Website: https://ev.hutb.edu.cn/p232/index.html</w:t>
      </w:r>
    </w:p>
    <w:p w14:paraId="6C2F7EF3" w14:textId="77777777" w:rsidR="000D0F31" w:rsidRPr="0045061C" w:rsidRDefault="000D0F31" w:rsidP="00FC26FB">
      <w:pPr>
        <w:rPr>
          <w:color w:val="000000" w:themeColor="text1"/>
        </w:rPr>
      </w:pPr>
    </w:p>
    <w:sectPr w:rsidR="000D0F31" w:rsidRPr="0045061C" w:rsidSect="000D0F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30E56" w14:textId="77777777" w:rsidR="0010662E" w:rsidRDefault="0010662E" w:rsidP="00B9510B">
      <w:r>
        <w:separator/>
      </w:r>
    </w:p>
  </w:endnote>
  <w:endnote w:type="continuationSeparator" w:id="0">
    <w:p w14:paraId="1992D54F" w14:textId="77777777" w:rsidR="0010662E" w:rsidRDefault="0010662E" w:rsidP="00B9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AD375" w14:textId="77777777" w:rsidR="0010662E" w:rsidRDefault="0010662E" w:rsidP="00B9510B">
      <w:r>
        <w:separator/>
      </w:r>
    </w:p>
  </w:footnote>
  <w:footnote w:type="continuationSeparator" w:id="0">
    <w:p w14:paraId="7582D9D6" w14:textId="77777777" w:rsidR="0010662E" w:rsidRDefault="0010662E" w:rsidP="00B95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6755B0"/>
    <w:multiLevelType w:val="singleLevel"/>
    <w:tmpl w:val="C16755B0"/>
    <w:lvl w:ilvl="0">
      <w:start w:val="2"/>
      <w:numFmt w:val="chineseCounting"/>
      <w:suff w:val="nothing"/>
      <w:lvlText w:val="%1、"/>
      <w:lvlJc w:val="left"/>
      <w:rPr>
        <w:rFonts w:hint="eastAsia"/>
      </w:rPr>
    </w:lvl>
  </w:abstractNum>
  <w:abstractNum w:abstractNumId="1">
    <w:nsid w:val="41F1B439"/>
    <w:multiLevelType w:val="singleLevel"/>
    <w:tmpl w:val="41F1B439"/>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wMDNhMmM3MWNlMDc1N2QwMDM2M2Q4ZDFkZTA5NDQifQ=="/>
  </w:docVars>
  <w:rsids>
    <w:rsidRoot w:val="4CD776CD"/>
    <w:rsid w:val="000D0F31"/>
    <w:rsid w:val="0010662E"/>
    <w:rsid w:val="00113987"/>
    <w:rsid w:val="001B2281"/>
    <w:rsid w:val="001D19F0"/>
    <w:rsid w:val="002B6A7D"/>
    <w:rsid w:val="002D2479"/>
    <w:rsid w:val="002D6A6E"/>
    <w:rsid w:val="002F63C2"/>
    <w:rsid w:val="00321DCE"/>
    <w:rsid w:val="00336AB9"/>
    <w:rsid w:val="00356F39"/>
    <w:rsid w:val="00395CE3"/>
    <w:rsid w:val="003B1D4F"/>
    <w:rsid w:val="0045061C"/>
    <w:rsid w:val="004B1925"/>
    <w:rsid w:val="005154FB"/>
    <w:rsid w:val="007946A0"/>
    <w:rsid w:val="008F52B6"/>
    <w:rsid w:val="00A15AF7"/>
    <w:rsid w:val="00A67288"/>
    <w:rsid w:val="00B36954"/>
    <w:rsid w:val="00B83110"/>
    <w:rsid w:val="00B9510B"/>
    <w:rsid w:val="00C15196"/>
    <w:rsid w:val="00C722AD"/>
    <w:rsid w:val="00CF4771"/>
    <w:rsid w:val="00DE214D"/>
    <w:rsid w:val="00F20158"/>
    <w:rsid w:val="00FC26FB"/>
    <w:rsid w:val="05287F46"/>
    <w:rsid w:val="143D576A"/>
    <w:rsid w:val="17AB1B17"/>
    <w:rsid w:val="1CC06F94"/>
    <w:rsid w:val="27035D1A"/>
    <w:rsid w:val="2E772BB0"/>
    <w:rsid w:val="3F4B6AEF"/>
    <w:rsid w:val="496B7101"/>
    <w:rsid w:val="4A8E1084"/>
    <w:rsid w:val="4CD776CD"/>
    <w:rsid w:val="57652E30"/>
    <w:rsid w:val="611D6D37"/>
    <w:rsid w:val="68352BB8"/>
    <w:rsid w:val="7803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73140"/>
  <w15:docId w15:val="{6C746B53-9D8C-4518-8E5A-0B53D26C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F3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D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0D0F31"/>
    <w:pPr>
      <w:spacing w:after="240" w:line="300" w:lineRule="exact"/>
      <w:ind w:firstLineChars="200" w:firstLine="420"/>
    </w:pPr>
    <w:rPr>
      <w:rFonts w:ascii="Calibri" w:eastAsia="宋体" w:hAnsi="Calibri" w:cs="Times New Roman"/>
    </w:rPr>
  </w:style>
  <w:style w:type="paragraph" w:styleId="a4">
    <w:name w:val="header"/>
    <w:basedOn w:val="a"/>
    <w:link w:val="Char"/>
    <w:unhideWhenUsed/>
    <w:rsid w:val="00B95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9510B"/>
    <w:rPr>
      <w:rFonts w:asciiTheme="minorHAnsi" w:eastAsiaTheme="minorEastAsia" w:hAnsiTheme="minorHAnsi" w:cstheme="minorBidi"/>
      <w:kern w:val="2"/>
      <w:sz w:val="18"/>
      <w:szCs w:val="18"/>
    </w:rPr>
  </w:style>
  <w:style w:type="paragraph" w:styleId="a5">
    <w:name w:val="footer"/>
    <w:basedOn w:val="a"/>
    <w:link w:val="Char0"/>
    <w:unhideWhenUsed/>
    <w:rsid w:val="00B9510B"/>
    <w:pPr>
      <w:tabs>
        <w:tab w:val="center" w:pos="4153"/>
        <w:tab w:val="right" w:pos="8306"/>
      </w:tabs>
      <w:snapToGrid w:val="0"/>
      <w:jc w:val="left"/>
    </w:pPr>
    <w:rPr>
      <w:sz w:val="18"/>
      <w:szCs w:val="18"/>
    </w:rPr>
  </w:style>
  <w:style w:type="character" w:customStyle="1" w:styleId="Char0">
    <w:name w:val="页脚 Char"/>
    <w:basedOn w:val="a0"/>
    <w:link w:val="a5"/>
    <w:rsid w:val="00B9510B"/>
    <w:rPr>
      <w:rFonts w:asciiTheme="minorHAnsi" w:eastAsiaTheme="minorEastAsia" w:hAnsiTheme="minorHAnsi" w:cstheme="minorBidi"/>
      <w:kern w:val="2"/>
      <w:sz w:val="18"/>
      <w:szCs w:val="18"/>
    </w:rPr>
  </w:style>
  <w:style w:type="character" w:styleId="a6">
    <w:name w:val="annotation reference"/>
    <w:basedOn w:val="a0"/>
    <w:semiHidden/>
    <w:unhideWhenUsed/>
    <w:rsid w:val="00B83110"/>
    <w:rPr>
      <w:sz w:val="21"/>
      <w:szCs w:val="21"/>
    </w:rPr>
  </w:style>
  <w:style w:type="paragraph" w:styleId="a7">
    <w:name w:val="annotation text"/>
    <w:basedOn w:val="a"/>
    <w:link w:val="Char1"/>
    <w:semiHidden/>
    <w:unhideWhenUsed/>
    <w:rsid w:val="00B83110"/>
    <w:pPr>
      <w:jc w:val="left"/>
    </w:pPr>
  </w:style>
  <w:style w:type="character" w:customStyle="1" w:styleId="Char1">
    <w:name w:val="批注文字 Char"/>
    <w:basedOn w:val="a0"/>
    <w:link w:val="a7"/>
    <w:semiHidden/>
    <w:rsid w:val="00B83110"/>
    <w:rPr>
      <w:rFonts w:asciiTheme="minorHAnsi" w:eastAsiaTheme="minorEastAsia" w:hAnsiTheme="minorHAnsi" w:cstheme="minorBidi"/>
      <w:kern w:val="2"/>
      <w:sz w:val="21"/>
      <w:szCs w:val="22"/>
    </w:rPr>
  </w:style>
  <w:style w:type="paragraph" w:styleId="a8">
    <w:name w:val="annotation subject"/>
    <w:basedOn w:val="a7"/>
    <w:next w:val="a7"/>
    <w:link w:val="Char2"/>
    <w:semiHidden/>
    <w:unhideWhenUsed/>
    <w:rsid w:val="00B83110"/>
    <w:rPr>
      <w:b/>
      <w:bCs/>
    </w:rPr>
  </w:style>
  <w:style w:type="character" w:customStyle="1" w:styleId="Char2">
    <w:name w:val="批注主题 Char"/>
    <w:basedOn w:val="Char1"/>
    <w:link w:val="a8"/>
    <w:semiHidden/>
    <w:rsid w:val="00B83110"/>
    <w:rPr>
      <w:rFonts w:asciiTheme="minorHAnsi" w:eastAsiaTheme="minorEastAsia" w:hAnsiTheme="minorHAnsi" w:cstheme="minorBidi"/>
      <w:b/>
      <w:bCs/>
      <w:kern w:val="2"/>
      <w:sz w:val="21"/>
      <w:szCs w:val="22"/>
    </w:rPr>
  </w:style>
  <w:style w:type="paragraph" w:styleId="a9">
    <w:name w:val="Balloon Text"/>
    <w:basedOn w:val="a"/>
    <w:link w:val="Char3"/>
    <w:rsid w:val="00B83110"/>
    <w:rPr>
      <w:sz w:val="18"/>
      <w:szCs w:val="18"/>
    </w:rPr>
  </w:style>
  <w:style w:type="character" w:customStyle="1" w:styleId="Char3">
    <w:name w:val="批注框文本 Char"/>
    <w:basedOn w:val="a0"/>
    <w:link w:val="a9"/>
    <w:rsid w:val="00B8311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刘学谛</dc:creator>
  <cp:lastModifiedBy>曾理平</cp:lastModifiedBy>
  <cp:revision>2</cp:revision>
  <cp:lastPrinted>2023-05-15T02:19:00Z</cp:lastPrinted>
  <dcterms:created xsi:type="dcterms:W3CDTF">2024-04-11T09:14:00Z</dcterms:created>
  <dcterms:modified xsi:type="dcterms:W3CDTF">2024-04-11T09:14:00Z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AEBCAC99114B450AB03FF7E7E6303DFC_11</vt:lpwstr>
  </property>
</Properties>
</file>