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5EE" w:rsidRPr="00E96F3C" w:rsidRDefault="007455EE" w:rsidP="009F6B7A">
      <w:pPr>
        <w:ind w:firstLine="881"/>
        <w:jc w:val="center"/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</w:pPr>
      <w:r w:rsidRPr="00E96F3C"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  <w:t>湖南工商大学</w:t>
      </w:r>
      <w:r w:rsidRPr="00E96F3C"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  <w:t>2024</w:t>
      </w:r>
      <w:r w:rsidRPr="00E96F3C"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  <w:t>年来华留学生招生简章</w:t>
      </w:r>
    </w:p>
    <w:p w:rsidR="007455EE" w:rsidRPr="00E96F3C" w:rsidRDefault="007455EE" w:rsidP="005B3C71">
      <w:pPr>
        <w:ind w:firstLine="881"/>
        <w:rPr>
          <w:rFonts w:ascii="Times New Roman" w:eastAsia="华文楷体" w:hAnsi="Times New Roman" w:cs="Times New Roman"/>
          <w:b/>
          <w:color w:val="000000" w:themeColor="text1"/>
          <w:sz w:val="44"/>
          <w:szCs w:val="44"/>
        </w:rPr>
      </w:pPr>
      <w:bookmarkStart w:id="0" w:name="_GoBack"/>
      <w:bookmarkEnd w:id="0"/>
    </w:p>
    <w:p w:rsidR="00C66D97" w:rsidRPr="00E96F3C" w:rsidRDefault="00C66D97" w:rsidP="005B3C71">
      <w:pPr>
        <w:rPr>
          <w:rFonts w:ascii="Times New Roman" w:eastAsia="华文楷体" w:hAnsi="Times New Roman" w:cs="Times New Roman"/>
          <w:b/>
          <w:color w:val="000000" w:themeColor="text1"/>
          <w:sz w:val="24"/>
          <w:szCs w:val="24"/>
        </w:rPr>
      </w:pPr>
    </w:p>
    <w:p w:rsidR="00C66D97" w:rsidRPr="00E96F3C" w:rsidRDefault="002F2430" w:rsidP="005B3C71">
      <w:pPr>
        <w:pStyle w:val="Style1"/>
        <w:spacing w:afterLines="50" w:after="156" w:line="320" w:lineRule="exact"/>
        <w:ind w:firstLineChars="0" w:firstLine="0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t>一、学校简介</w:t>
      </w:r>
    </w:p>
    <w:p w:rsidR="00C66D97" w:rsidRPr="00E96F3C" w:rsidRDefault="002F2430" w:rsidP="005B3C71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湖南工商大学坐落在历史文化名城长沙，创建于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1949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年。</w:t>
      </w:r>
      <w:r w:rsidR="001C240D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她是一所院士领衔的涵盖管理学、经济学、工学、理学、法学、文学、艺术学、交叉学科等多学科相互支撑、协调发展、特色鲜明的财经类大学，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是湖南省本科一批招生高校、教育部本科教学工作水平评估优秀高校、博士学位授予立项建设单位、全国高校实践育人创新创业基地、教育部人文社会科学优秀成果奖大满贯高校。</w:t>
      </w:r>
    </w:p>
    <w:p w:rsidR="001C240D" w:rsidRPr="00E96F3C" w:rsidRDefault="001C240D" w:rsidP="005B3C71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学校拥有一批以中国工程院院士陈晓红为代表的国家级高层次人才；引智院士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9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名、“杰青”“长江”等专家学者和优秀企业家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70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人；“绿色与智慧管理”院士团队、“习近平新时代中国特色社会主义思想概论”课教师团队入选“全国高校黄大年式教师团队”。</w:t>
      </w:r>
    </w:p>
    <w:p w:rsidR="001C240D" w:rsidRPr="00E96F3C" w:rsidRDefault="001C240D" w:rsidP="005B3C71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学校设有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23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个二级学院，拥有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77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个本科专业（含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个中外合作办学本科专业），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19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个国家级一流专业，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33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个省级一流专业。现有在校研究生和本科生近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万名。近五年获全国“挑战杯”大赛特等奖、“累进创新金奖”等国家级奖励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702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项，获奖数跻身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2019-2023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年全国人文社科类本科院校大学生竞赛排行榜的前十。</w:t>
      </w:r>
      <w:r w:rsidR="00226B97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学校面向</w:t>
      </w:r>
      <w:r w:rsidR="00226B97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31</w:t>
      </w:r>
      <w:r w:rsidR="00226B97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个省、直辖市、自治区招生，就业率稳居全省高校前列。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为经济社会发展输送了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余万名优秀人才。</w:t>
      </w:r>
    </w:p>
    <w:p w:rsidR="00C66D97" w:rsidRPr="00E96F3C" w:rsidRDefault="002F2430" w:rsidP="005B3C71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学校自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2010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年开始招收留学生，目前共培养来自全球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多个国家的留学生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300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余人。学校对外交流日益广泛，先后与</w:t>
      </w:r>
      <w:r w:rsidR="0031766A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美国、英国、法国、俄罗斯</w:t>
      </w:r>
      <w:r w:rsidR="0031766A" w:rsidRPr="00E96F3C"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  <w:t>、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爱尔兰、意大利、</w:t>
      </w:r>
      <w:r w:rsidR="0031766A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荷兰</w:t>
      </w:r>
      <w:r w:rsidR="0031766A" w:rsidRPr="00E96F3C"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  <w:t>、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韩国等国家的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余所大学和科研机构建立了合作办学和校际交流关系。</w:t>
      </w:r>
    </w:p>
    <w:p w:rsidR="00C66D97" w:rsidRPr="00E96F3C" w:rsidRDefault="002F2430" w:rsidP="005B3C71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湖南工商大学秉持“新工科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+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新商科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+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新文科”与理科融合发展的思路，努力形成一流的理念、一流的目标、一流的标准、一流的质量、一流的机制，打造创新工商、人文工商、艺术工商、体育工商、数智工商、绿色工商、幸福工商，建设读书求知的好园地，乘高等教育改革奋进的东风，朝着创新型一流工商大学的愿景扬帆远航。</w:t>
      </w:r>
    </w:p>
    <w:p w:rsidR="00C66D97" w:rsidRPr="00E96F3C" w:rsidRDefault="00C66D97" w:rsidP="005B3C71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</w:p>
    <w:p w:rsidR="00C66D97" w:rsidRPr="00E96F3C" w:rsidRDefault="00E6752E" w:rsidP="005B3C71">
      <w:pPr>
        <w:pStyle w:val="Style1"/>
        <w:numPr>
          <w:ilvl w:val="0"/>
          <w:numId w:val="1"/>
        </w:numPr>
        <w:spacing w:afterLines="50" w:after="156" w:line="320" w:lineRule="exact"/>
        <w:ind w:firstLineChars="0" w:firstLine="0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招</w:t>
      </w:r>
      <w:r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t>生</w:t>
      </w:r>
      <w:r w:rsidR="002A13FB"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t>类别</w:t>
      </w:r>
      <w:r w:rsidR="002A13FB"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及</w:t>
      </w:r>
      <w:r w:rsidR="002F2430"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96F3C" w:rsidRPr="00E96F3C" w:rsidTr="0026574C"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类别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学制（年）</w:t>
            </w:r>
          </w:p>
        </w:tc>
        <w:tc>
          <w:tcPr>
            <w:tcW w:w="2074" w:type="dxa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授课语言</w:t>
            </w:r>
          </w:p>
        </w:tc>
      </w:tr>
      <w:tr w:rsidR="00E96F3C" w:rsidRPr="00E96F3C" w:rsidTr="0026574C"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adjustRightInd w:val="0"/>
              <w:snapToGrid w:val="0"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国际商务、翻译专硕等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</w:tr>
      <w:tr w:rsidR="00E96F3C" w:rsidRPr="00E96F3C" w:rsidTr="0026574C"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本科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adjustRightInd w:val="0"/>
              <w:snapToGrid w:val="0"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汉语</w:t>
            </w:r>
          </w:p>
        </w:tc>
      </w:tr>
      <w:tr w:rsidR="00E96F3C" w:rsidRPr="00E96F3C" w:rsidTr="0026574C"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非学历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汉语言进修</w:t>
            </w:r>
          </w:p>
        </w:tc>
        <w:tc>
          <w:tcPr>
            <w:tcW w:w="2074" w:type="dxa"/>
            <w:vAlign w:val="center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E6752E" w:rsidRPr="00E96F3C" w:rsidRDefault="00E6752E" w:rsidP="00E6752E">
            <w:pPr>
              <w:widowControl/>
              <w:jc w:val="center"/>
              <w:rPr>
                <w:rFonts w:ascii="Times New Roman" w:eastAsia="华文楷体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96F3C">
              <w:rPr>
                <w:rFonts w:ascii="Times New Roman" w:eastAsia="华文楷体" w:hAnsi="Times New Roman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英汉双语</w:t>
            </w:r>
          </w:p>
        </w:tc>
      </w:tr>
    </w:tbl>
    <w:p w:rsidR="00600098" w:rsidRPr="00E96F3C" w:rsidRDefault="00600098" w:rsidP="00600098">
      <w:pPr>
        <w:spacing w:line="360" w:lineRule="auto"/>
        <w:ind w:firstLine="601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t>专业介绍</w:t>
      </w:r>
    </w:p>
    <w:p w:rsidR="00600098" w:rsidRPr="00E96F3C" w:rsidRDefault="00600098" w:rsidP="00BA1F6D">
      <w:pPr>
        <w:spacing w:line="40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b/>
          <w:color w:val="000000" w:themeColor="text1"/>
          <w:kern w:val="0"/>
          <w:sz w:val="24"/>
          <w:szCs w:val="24"/>
        </w:rPr>
        <w:t>国际商务</w:t>
      </w:r>
      <w:r w:rsidR="002A13FB" w:rsidRPr="00E96F3C">
        <w:rPr>
          <w:rFonts w:ascii="Times New Roman" w:eastAsia="华文楷体" w:hAnsi="Times New Roman" w:cs="Times New Roman" w:hint="eastAsia"/>
          <w:b/>
          <w:color w:val="000000" w:themeColor="text1"/>
          <w:kern w:val="0"/>
          <w:sz w:val="24"/>
          <w:szCs w:val="24"/>
        </w:rPr>
        <w:t>硕士</w:t>
      </w:r>
      <w:r w:rsidRPr="00E96F3C">
        <w:rPr>
          <w:rFonts w:ascii="Times New Roman" w:eastAsia="华文楷体" w:hAnsi="Times New Roman" w:cs="Times New Roman" w:hint="eastAsia"/>
          <w:b/>
          <w:color w:val="000000" w:themeColor="text1"/>
          <w:kern w:val="0"/>
          <w:sz w:val="24"/>
          <w:szCs w:val="24"/>
        </w:rPr>
        <w:t>专业学位点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以国家级第一类特色专业建设点国际经济与贸易专业建设为基础，建有商务模拟实验室、省虚拟仿真实验教学中心和电子商务“双创”教学实验平台，培养了大量具有</w:t>
      </w:r>
      <w:r w:rsidR="002A13FB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社会责任感与职业道德、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全球视野和创新意识、国际商务专业技能与素养、跨文化沟通能力，能够胜任国际化经营与管理工作的高层次</w:t>
      </w:r>
      <w:r w:rsidR="002A13FB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、应用型、国际化、复合型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人才。该学位点师资力量雄厚、队伍结构合理，现有专任教师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 xml:space="preserve">36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人，其中教授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 xml:space="preserve">15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人，副教授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 xml:space="preserve"> 12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人，博士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 xml:space="preserve"> 35 </w:t>
      </w:r>
      <w:r w:rsidR="002A13FB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人。</w:t>
      </w:r>
      <w:r w:rsidR="002A13FB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</w:p>
    <w:p w:rsidR="00600098" w:rsidRPr="00E96F3C" w:rsidRDefault="002A13FB" w:rsidP="00600098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b/>
          <w:color w:val="000000" w:themeColor="text1"/>
          <w:kern w:val="0"/>
          <w:sz w:val="24"/>
          <w:szCs w:val="24"/>
        </w:rPr>
        <w:t>翻译硕士专业</w:t>
      </w:r>
      <w:r w:rsidR="00600098" w:rsidRPr="00E96F3C">
        <w:rPr>
          <w:rFonts w:ascii="Times New Roman" w:eastAsia="华文楷体" w:hAnsi="Times New Roman" w:cs="Times New Roman" w:hint="eastAsia"/>
          <w:b/>
          <w:color w:val="000000" w:themeColor="text1"/>
          <w:kern w:val="0"/>
          <w:sz w:val="24"/>
          <w:szCs w:val="24"/>
        </w:rPr>
        <w:t>学位</w:t>
      </w:r>
      <w:r w:rsidR="00600098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旨在培养具有良好的职业道德和专业精神，能适应国际和区域经济、文化和社会建设需要，熟稔国际商务、涉外法律等相关专业领域知识，熟练掌握双语互译专业技能的高层次、应用型、专业性口笔译人才。本专业学位授权点主要开设英语笔译方向。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本专业学位点现有教授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 xml:space="preserve"> 12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人，副教授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19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人，博士（含在读）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24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人，有湖南省新世纪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121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人才工程专家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</w:t>
      </w:r>
      <w:r w:rsidR="0026036F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，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省教学能</w:t>
      </w:r>
      <w:r w:rsidR="0026036F"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手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人，省青年骨干教师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人。</w:t>
      </w:r>
    </w:p>
    <w:p w:rsidR="00600098" w:rsidRPr="00E96F3C" w:rsidRDefault="00600098" w:rsidP="00600098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汉语言文学</w:t>
      </w:r>
      <w:r w:rsidR="002A13FB"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本科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kern w:val="0"/>
          <w:sz w:val="24"/>
          <w:szCs w:val="24"/>
        </w:rPr>
        <w:t>专业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致力于培养适应新一轮信息技术革命的需要，具有较为深厚的人文底蕴，系统掌握中国语言文学的基本知识，具备较强的语言文字表达能力和文学审美鉴评能力，同时掌握一定的跨文化交流能力和数智化技能，能在企事业单位和社会团体组织从事行政管理、文化传播与交流、中文教学与研究工作的创新型、创业型、应用型、复合型高级专门人才。</w:t>
      </w:r>
    </w:p>
    <w:p w:rsidR="00600098" w:rsidRPr="00E96F3C" w:rsidRDefault="00600098" w:rsidP="00600098">
      <w:pPr>
        <w:widowControl/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kern w:val="0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b/>
          <w:color w:val="000000" w:themeColor="text1"/>
          <w:kern w:val="0"/>
          <w:sz w:val="24"/>
          <w:szCs w:val="24"/>
        </w:rPr>
        <w:t>汉语言教学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kern w:val="0"/>
          <w:sz w:val="24"/>
          <w:szCs w:val="24"/>
        </w:rPr>
        <w:t>旨在培养来华留学生在听、说、读和写四个方面的汉语语言能力，全方位夯实留学生的汉语言基础知识，要求留学生能融会贯通一定数量的汉语词汇，能用汉语进行日常交流，并能书写小型的应用文，甚至能够习得商务汉语等，以满足生活和工作需求，并有助于未来的学习需求。此外，留学生需要习得和语言相关的中国文化和中国历史知识等，有助于近距离了解中国和真正喜欢汉语，变知识为技能，变技能为智慧。</w:t>
      </w:r>
    </w:p>
    <w:p w:rsidR="00C66D97" w:rsidRPr="00E96F3C" w:rsidRDefault="002F2430" w:rsidP="005B3C71">
      <w:pPr>
        <w:numPr>
          <w:ilvl w:val="0"/>
          <w:numId w:val="1"/>
        </w:numPr>
        <w:spacing w:line="360" w:lineRule="auto"/>
        <w:ind w:firstLine="601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申请条件</w:t>
      </w:r>
    </w:p>
    <w:p w:rsidR="00C66D97" w:rsidRPr="00E96F3C" w:rsidRDefault="002F2430" w:rsidP="005B3C71">
      <w:pPr>
        <w:spacing w:line="440" w:lineRule="exact"/>
        <w:ind w:firstLineChars="200" w:firstLine="561"/>
        <w:rPr>
          <w:rFonts w:ascii="Times New Roman" w:eastAsia="华文楷体" w:hAnsi="Times New Roman"/>
          <w:b/>
          <w:bCs/>
          <w:color w:val="000000" w:themeColor="text1"/>
          <w:sz w:val="32"/>
          <w:szCs w:val="32"/>
        </w:rPr>
      </w:pP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（一）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申请资格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1.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截至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202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4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年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6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日年龄在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18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周岁（含）以上且身心健康，品行端正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lastRenderedPageBreak/>
        <w:t>的非中国籍公民。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2.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遵守中国法律和学校规章制度，尊重中国风俗习惯，学习成绩优异。</w:t>
      </w:r>
    </w:p>
    <w:p w:rsidR="00C66D97" w:rsidRPr="00E96F3C" w:rsidRDefault="002F2430" w:rsidP="005B3C71">
      <w:pPr>
        <w:spacing w:line="440" w:lineRule="exact"/>
        <w:ind w:firstLineChars="200" w:firstLine="561"/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</w:pP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（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二</w:t>
      </w: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）申请资料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1. 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湖南工商大学留学生申请表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2.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彩色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2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寸免冠证件照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3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. 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有效普通护照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（护照剩余有效期须不少于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12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个月）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4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. 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《外国人体格检查表》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(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半年有效期内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)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5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. 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无犯罪记录证明（半年有效期内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；若为中英文以外文本，需附上经公证的中文或英文译本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6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. 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最高学历证书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7. 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学习成绩单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（申请攻读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研究生、本科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提供）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8. </w:t>
      </w:r>
      <w:r w:rsidR="00BA1F6D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语言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水平证明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（申请攻读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研究生</w:t>
      </w:r>
      <w:r w:rsidR="00BA1F6D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、本科提供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9.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来华学习和研究计划（申请攻读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研究生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提供）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.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两名教授或副教授的推荐信（申请攻读</w:t>
      </w:r>
      <w:r w:rsidR="007455E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研究生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提供）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11.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经济条件证明（提供足以支付在中国留学的学费、住宿费、生活费等担保证明，同时提交经费担保人的工作或收入证明及护照复印件）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12.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目前在华或曾在华工作、学习等申请者，需提供相应的证明资料。如有其它可以证明申请者学业能力和综合素质的文件，可在申请时一并提交。</w:t>
      </w:r>
    </w:p>
    <w:p w:rsidR="00C66D97" w:rsidRPr="00E96F3C" w:rsidRDefault="002F2430" w:rsidP="005B3C71">
      <w:pPr>
        <w:spacing w:line="440" w:lineRule="exact"/>
        <w:ind w:firstLineChars="200" w:firstLine="561"/>
        <w:rPr>
          <w:rFonts w:ascii="Times New Roman" w:eastAsia="华文楷体" w:hAnsi="Times New Roman" w:cs="Times New Roman"/>
          <w:b/>
          <w:bCs/>
          <w:color w:val="000000" w:themeColor="text1"/>
          <w:sz w:val="24"/>
          <w:szCs w:val="24"/>
        </w:rPr>
      </w:pP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（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三</w:t>
      </w: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）</w:t>
      </w:r>
      <w:r w:rsidR="002A13FB"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语言</w:t>
      </w: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要求</w:t>
      </w:r>
    </w:p>
    <w:p w:rsidR="00C66D97" w:rsidRPr="00E96F3C" w:rsidRDefault="002F2430" w:rsidP="00E937BA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 xml:space="preserve">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官方语言非英语的学生，申请攻读硕士生，须提供雅思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5.5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分及以上，或托福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50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分及以上，或同等英语水平证书，或高中阶段英语授课证明。</w:t>
      </w:r>
      <w:r w:rsidR="00557062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毕业时，硕士研究生的中文能力应当至少达到《国际汉语能力标准》三级水平。</w:t>
      </w:r>
    </w:p>
    <w:p w:rsidR="00557062" w:rsidRPr="00E96F3C" w:rsidRDefault="00E937BA" w:rsidP="00E937BA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申请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攻读</w:t>
      </w:r>
      <w:r w:rsidR="00557062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以中文为专业教学语言的学科、专业的中文能力要求应当至少达到《国际汉语能力标准》四级水平。毕业时，中文能力应当达到《国际汉语能力标准》五级水平。</w:t>
      </w:r>
    </w:p>
    <w:p w:rsidR="00C66D97" w:rsidRPr="00E96F3C" w:rsidRDefault="002F2430" w:rsidP="005B3C71">
      <w:pPr>
        <w:ind w:firstLineChars="200" w:firstLine="561"/>
        <w:rPr>
          <w:rFonts w:ascii="Times New Roman" w:eastAsia="华文楷体" w:hAnsi="Times New Roman" w:cs="Times New Roman"/>
          <w:b/>
          <w:color w:val="000000" w:themeColor="text1"/>
          <w:sz w:val="28"/>
          <w:szCs w:val="28"/>
        </w:rPr>
      </w:pPr>
      <w:r w:rsidRPr="00E96F3C">
        <w:rPr>
          <w:rFonts w:ascii="Times New Roman" w:eastAsia="华文楷体" w:hAnsi="Times New Roman" w:cs="Times New Roman" w:hint="eastAsia"/>
          <w:b/>
          <w:color w:val="000000" w:themeColor="text1"/>
          <w:sz w:val="28"/>
          <w:szCs w:val="28"/>
        </w:rPr>
        <w:t>（四）其他</w:t>
      </w:r>
    </w:p>
    <w:p w:rsidR="00C66D97" w:rsidRPr="00E96F3C" w:rsidRDefault="002F2430" w:rsidP="005B3C71">
      <w:pPr>
        <w:spacing w:line="400" w:lineRule="exact"/>
        <w:ind w:firstLine="480"/>
        <w:rPr>
          <w:rFonts w:ascii="Times New Roman" w:eastAsia="华文楷体" w:hAnsi="Times New Roman" w:cs="Times New Roman"/>
          <w:color w:val="000000" w:themeColor="text1"/>
          <w:sz w:val="24"/>
          <w:szCs w:val="24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4"/>
        </w:rPr>
        <w:t>我校将对初审合格的申请者进行面试或专业复试，面试或专业复试不合格者，不予录取。</w:t>
      </w:r>
    </w:p>
    <w:p w:rsidR="00C66D97" w:rsidRPr="00E96F3C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四、申请时间</w:t>
      </w:r>
    </w:p>
    <w:p w:rsidR="00C66D97" w:rsidRPr="00E96F3C" w:rsidRDefault="002F2430" w:rsidP="005B3C71">
      <w:pPr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202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4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年</w:t>
      </w:r>
      <w:r w:rsidR="00BE25E4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7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月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3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日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（秋季入学）。</w:t>
      </w:r>
    </w:p>
    <w:p w:rsidR="00C66D97" w:rsidRPr="00E96F3C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lastRenderedPageBreak/>
        <w:t>五</w:t>
      </w:r>
      <w:r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、收费标准</w:t>
      </w:r>
    </w:p>
    <w:p w:rsidR="00C66D97" w:rsidRPr="00E96F3C" w:rsidRDefault="002F2430" w:rsidP="005B3C71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color w:val="000000" w:themeColor="text1"/>
          <w:sz w:val="36"/>
          <w:szCs w:val="36"/>
        </w:rPr>
      </w:pP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注册</w:t>
      </w: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费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500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人</w:t>
      </w:r>
    </w:p>
    <w:p w:rsidR="00C66D97" w:rsidRPr="00E96F3C" w:rsidRDefault="002F2430" w:rsidP="005B3C71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</w:pP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学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 xml:space="preserve">  </w:t>
      </w: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费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硕士生：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24000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年</w:t>
      </w:r>
    </w:p>
    <w:p w:rsidR="00E6752E" w:rsidRPr="00E96F3C" w:rsidRDefault="00E6752E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本科生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：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18000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年</w:t>
      </w:r>
    </w:p>
    <w:p w:rsidR="00E6752E" w:rsidRPr="00E96F3C" w:rsidRDefault="002F2430" w:rsidP="00E6752E">
      <w:pPr>
        <w:spacing w:line="40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汉语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语言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生：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110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00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年</w:t>
      </w:r>
    </w:p>
    <w:p w:rsidR="00E6752E" w:rsidRPr="00E96F3C" w:rsidRDefault="00E6752E" w:rsidP="00E6752E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</w:pP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住宿费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</w:p>
    <w:p w:rsidR="00E6752E" w:rsidRPr="00E96F3C" w:rsidRDefault="00E6752E" w:rsidP="00E6752E">
      <w:pPr>
        <w:spacing w:line="40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双人间：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3000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年</w:t>
      </w:r>
    </w:p>
    <w:p w:rsidR="00E6752E" w:rsidRPr="00E96F3C" w:rsidRDefault="00E6752E" w:rsidP="00E6752E">
      <w:pPr>
        <w:spacing w:line="40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四人间：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1500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年</w:t>
      </w:r>
    </w:p>
    <w:p w:rsidR="00E6752E" w:rsidRPr="00E96F3C" w:rsidRDefault="00E6752E" w:rsidP="00E6752E">
      <w:pPr>
        <w:spacing w:line="400" w:lineRule="exact"/>
        <w:ind w:firstLineChars="200" w:firstLine="561"/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</w:pPr>
      <w:r w:rsidRPr="00E96F3C">
        <w:rPr>
          <w:rFonts w:ascii="Times New Roman" w:eastAsia="华文楷体" w:hAnsi="Times New Roman" w:cs="Times New Roman"/>
          <w:b/>
          <w:bCs/>
          <w:color w:val="000000" w:themeColor="text1"/>
          <w:sz w:val="28"/>
          <w:szCs w:val="28"/>
        </w:rPr>
        <w:t>保险费</w:t>
      </w:r>
      <w:r w:rsidRPr="00E96F3C">
        <w:rPr>
          <w:rFonts w:ascii="Times New Roman" w:eastAsia="华文楷体" w:hAnsi="Times New Roman" w:cs="Times New Roman" w:hint="eastAsia"/>
          <w:b/>
          <w:bCs/>
          <w:color w:val="000000" w:themeColor="text1"/>
          <w:sz w:val="28"/>
          <w:szCs w:val="28"/>
        </w:rPr>
        <w:t>：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800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元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/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年</w:t>
      </w:r>
    </w:p>
    <w:p w:rsidR="00C66D97" w:rsidRPr="00E96F3C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t>六</w:t>
      </w:r>
      <w:r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、奖学金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 xml:space="preserve">1. 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湖南省来华留学生奖学金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湖南省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政府为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来华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学习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留学</w:t>
      </w:r>
      <w:r w:rsidR="001E0403"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学历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生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提供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奖学金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，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每年若干名优秀学生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。</w:t>
      </w:r>
    </w:p>
    <w:p w:rsidR="00C66D97" w:rsidRPr="00E96F3C" w:rsidRDefault="002F2430" w:rsidP="005B3C71">
      <w:pPr>
        <w:numPr>
          <w:ilvl w:val="0"/>
          <w:numId w:val="2"/>
        </w:num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湖南省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“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一带一路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”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沿线国家语言生奖学金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湖南省政府为“一带一路”沿线国家的语言进修生提供一学年奖学金。</w:t>
      </w:r>
    </w:p>
    <w:p w:rsidR="00C66D97" w:rsidRPr="00E96F3C" w:rsidRDefault="002F2430" w:rsidP="005B3C71">
      <w:pPr>
        <w:numPr>
          <w:ilvl w:val="0"/>
          <w:numId w:val="2"/>
        </w:num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湖南工商大学来华留学生奖学金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</w:rPr>
      </w:pP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湖南工商大学为在校优秀留学生提供奖学金。根据每位留学生在校表现，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硕士研究生、本科生</w:t>
      </w:r>
      <w:r w:rsidR="00E6752E"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和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语言生可分别获得最高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16800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、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9000</w:t>
      </w:r>
      <w:r w:rsidR="00E6752E"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和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5500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元奖学金。</w:t>
      </w:r>
    </w:p>
    <w:p w:rsidR="00C66D97" w:rsidRPr="00E96F3C" w:rsidRDefault="002F2430" w:rsidP="005B3C71">
      <w:pPr>
        <w:pStyle w:val="Style1"/>
        <w:spacing w:after="0" w:line="240" w:lineRule="auto"/>
        <w:ind w:firstLineChars="0" w:firstLine="0"/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</w:pPr>
      <w:r w:rsidRPr="00E96F3C">
        <w:rPr>
          <w:rFonts w:ascii="Times New Roman" w:eastAsia="华文楷体" w:hAnsi="Times New Roman" w:hint="eastAsia"/>
          <w:b/>
          <w:bCs/>
          <w:color w:val="000000" w:themeColor="text1"/>
          <w:sz w:val="30"/>
          <w:szCs w:val="30"/>
        </w:rPr>
        <w:t>七</w:t>
      </w:r>
      <w:r w:rsidRPr="00E96F3C">
        <w:rPr>
          <w:rFonts w:ascii="Times New Roman" w:eastAsia="华文楷体" w:hAnsi="Times New Roman"/>
          <w:b/>
          <w:bCs/>
          <w:color w:val="000000" w:themeColor="text1"/>
          <w:sz w:val="30"/>
          <w:szCs w:val="30"/>
        </w:rPr>
        <w:t>、联系方式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地址：湖南省长沙市岳麓区岳麓大道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569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号湖南工商大学国际交流与合作处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邮编：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410205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联系电话：</w:t>
      </w: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0731-88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650660</w:t>
      </w:r>
    </w:p>
    <w:p w:rsidR="00C66D97" w:rsidRPr="00E96F3C" w:rsidRDefault="002F2430" w:rsidP="005B3C71">
      <w:pPr>
        <w:spacing w:line="440" w:lineRule="exact"/>
        <w:ind w:firstLineChars="200" w:firstLine="480"/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电子邮箱：</w:t>
      </w:r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gjjl@hutb.edu.cn</w:t>
      </w:r>
    </w:p>
    <w:p w:rsidR="00C66D97" w:rsidRPr="00E96F3C" w:rsidRDefault="002F2430" w:rsidP="00E32445">
      <w:pPr>
        <w:spacing w:line="440" w:lineRule="exact"/>
        <w:ind w:firstLineChars="200" w:firstLine="480"/>
        <w:rPr>
          <w:color w:val="000000" w:themeColor="text1"/>
        </w:rPr>
      </w:pPr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学校网址</w:t>
      </w:r>
      <w:bookmarkStart w:id="1" w:name="OLE_LINK7"/>
      <w:r w:rsidRPr="00E96F3C">
        <w:rPr>
          <w:rFonts w:ascii="Times New Roman" w:eastAsia="华文楷体" w:hAnsi="Times New Roman" w:cs="Times New Roman"/>
          <w:color w:val="000000" w:themeColor="text1"/>
          <w:sz w:val="24"/>
          <w:szCs w:val="28"/>
        </w:rPr>
        <w:t>：</w:t>
      </w:r>
      <w:bookmarkEnd w:id="1"/>
      <w:r w:rsidRPr="00E96F3C">
        <w:rPr>
          <w:rFonts w:ascii="Times New Roman" w:eastAsia="华文楷体" w:hAnsi="Times New Roman" w:cs="Times New Roman" w:hint="eastAsia"/>
          <w:color w:val="000000" w:themeColor="text1"/>
          <w:sz w:val="24"/>
          <w:szCs w:val="28"/>
        </w:rPr>
        <w:t>https://ev.hutb.edu.cn/p232/index.html</w:t>
      </w:r>
    </w:p>
    <w:sectPr w:rsidR="00C66D97" w:rsidRPr="00E96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BE" w:rsidRDefault="002719BE" w:rsidP="00E66F2C">
      <w:r>
        <w:separator/>
      </w:r>
    </w:p>
  </w:endnote>
  <w:endnote w:type="continuationSeparator" w:id="0">
    <w:p w:rsidR="002719BE" w:rsidRDefault="002719BE" w:rsidP="00E6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BE" w:rsidRDefault="002719BE" w:rsidP="00E66F2C">
      <w:r>
        <w:separator/>
      </w:r>
    </w:p>
  </w:footnote>
  <w:footnote w:type="continuationSeparator" w:id="0">
    <w:p w:rsidR="002719BE" w:rsidRDefault="002719BE" w:rsidP="00E6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6755B0"/>
    <w:multiLevelType w:val="singleLevel"/>
    <w:tmpl w:val="C16755B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F1B439"/>
    <w:multiLevelType w:val="singleLevel"/>
    <w:tmpl w:val="41F1B439"/>
    <w:lvl w:ilvl="0">
      <w:start w:val="2"/>
      <w:numFmt w:val="decimal"/>
      <w:suff w:val="space"/>
      <w:lvlText w:val="%1."/>
      <w:lvlJc w:val="left"/>
    </w:lvl>
  </w:abstractNum>
  <w:abstractNum w:abstractNumId="2">
    <w:nsid w:val="576466F2"/>
    <w:multiLevelType w:val="hybridMultilevel"/>
    <w:tmpl w:val="A80666CE"/>
    <w:lvl w:ilvl="0" w:tplc="DB9CAD2A">
      <w:start w:val="1"/>
      <w:numFmt w:val="japaneseCounting"/>
      <w:lvlText w:val="（%1）"/>
      <w:lvlJc w:val="left"/>
      <w:pPr>
        <w:ind w:left="1446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3">
    <w:nsid w:val="79284B91"/>
    <w:multiLevelType w:val="hybridMultilevel"/>
    <w:tmpl w:val="AD6EE4AE"/>
    <w:lvl w:ilvl="0" w:tplc="ED7A149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OTE4MmQyNWMxYTQ5MjQ3MzEwMDgyYWU5YThhZjcifQ=="/>
  </w:docVars>
  <w:rsids>
    <w:rsidRoot w:val="4CD776CD"/>
    <w:rsid w:val="000A0F15"/>
    <w:rsid w:val="000D0F31"/>
    <w:rsid w:val="001C240D"/>
    <w:rsid w:val="001E0403"/>
    <w:rsid w:val="00226B97"/>
    <w:rsid w:val="0026036F"/>
    <w:rsid w:val="002719BE"/>
    <w:rsid w:val="002A13FB"/>
    <w:rsid w:val="002D2479"/>
    <w:rsid w:val="002D6A6E"/>
    <w:rsid w:val="002F2430"/>
    <w:rsid w:val="0031766A"/>
    <w:rsid w:val="0036702F"/>
    <w:rsid w:val="003B12E9"/>
    <w:rsid w:val="00557062"/>
    <w:rsid w:val="00580FE7"/>
    <w:rsid w:val="00590810"/>
    <w:rsid w:val="005B3C71"/>
    <w:rsid w:val="005D78F0"/>
    <w:rsid w:val="005F2BFD"/>
    <w:rsid w:val="00600098"/>
    <w:rsid w:val="00626709"/>
    <w:rsid w:val="006405E9"/>
    <w:rsid w:val="007455EE"/>
    <w:rsid w:val="007B56C5"/>
    <w:rsid w:val="00850796"/>
    <w:rsid w:val="009F6B7A"/>
    <w:rsid w:val="00A609B4"/>
    <w:rsid w:val="00B761B3"/>
    <w:rsid w:val="00BA1F6D"/>
    <w:rsid w:val="00BE25E4"/>
    <w:rsid w:val="00C66D97"/>
    <w:rsid w:val="00CB3D77"/>
    <w:rsid w:val="00CD0A85"/>
    <w:rsid w:val="00CE0A5B"/>
    <w:rsid w:val="00D361CB"/>
    <w:rsid w:val="00DC5F5E"/>
    <w:rsid w:val="00DE214D"/>
    <w:rsid w:val="00DE76AF"/>
    <w:rsid w:val="00E05CAE"/>
    <w:rsid w:val="00E25F38"/>
    <w:rsid w:val="00E32445"/>
    <w:rsid w:val="00E66F2C"/>
    <w:rsid w:val="00E6752E"/>
    <w:rsid w:val="00E937BA"/>
    <w:rsid w:val="00E96F3C"/>
    <w:rsid w:val="00EA70CF"/>
    <w:rsid w:val="00ED40C7"/>
    <w:rsid w:val="00FC4C00"/>
    <w:rsid w:val="05287F46"/>
    <w:rsid w:val="143D576A"/>
    <w:rsid w:val="17AB1B17"/>
    <w:rsid w:val="1CC06F94"/>
    <w:rsid w:val="27035D1A"/>
    <w:rsid w:val="272A1923"/>
    <w:rsid w:val="2E772BB0"/>
    <w:rsid w:val="3F4B6AEF"/>
    <w:rsid w:val="496B7101"/>
    <w:rsid w:val="4A8E1084"/>
    <w:rsid w:val="4CD776CD"/>
    <w:rsid w:val="57652E30"/>
    <w:rsid w:val="5DAF1AFF"/>
    <w:rsid w:val="611D6D37"/>
    <w:rsid w:val="68352BB8"/>
    <w:rsid w:val="780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921959-CE2D-4446-A04B-7C4F699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A609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pPr>
      <w:spacing w:after="240" w:line="300" w:lineRule="exact"/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A609B4"/>
    <w:pPr>
      <w:ind w:firstLineChars="200" w:firstLine="420"/>
    </w:pPr>
  </w:style>
  <w:style w:type="character" w:styleId="a7">
    <w:name w:val="Strong"/>
    <w:basedOn w:val="a0"/>
    <w:uiPriority w:val="22"/>
    <w:qFormat/>
    <w:rsid w:val="00A609B4"/>
    <w:rPr>
      <w:b/>
      <w:bCs/>
    </w:rPr>
  </w:style>
  <w:style w:type="character" w:customStyle="1" w:styleId="1Char">
    <w:name w:val="标题 1 Char"/>
    <w:basedOn w:val="a0"/>
    <w:link w:val="1"/>
    <w:uiPriority w:val="9"/>
    <w:rsid w:val="00A609B4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6000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段落正文"/>
    <w:basedOn w:val="a"/>
    <w:qFormat/>
    <w:rsid w:val="00557062"/>
    <w:pPr>
      <w:spacing w:line="400" w:lineRule="atLeast"/>
      <w:ind w:firstLineChars="200" w:firstLine="420"/>
    </w:pPr>
    <w:rPr>
      <w:rFonts w:ascii="新宋体" w:eastAsia="宋体" w:hAnsi="新宋体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刘学谛</dc:creator>
  <cp:lastModifiedBy>单望佳</cp:lastModifiedBy>
  <cp:revision>2</cp:revision>
  <cp:lastPrinted>2024-04-19T08:35:00Z</cp:lastPrinted>
  <dcterms:created xsi:type="dcterms:W3CDTF">2024-07-09T01:53:00Z</dcterms:created>
  <dcterms:modified xsi:type="dcterms:W3CDTF">2024-07-09T01:53:00Z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C61C49FB98BA4E3B8A13B44A4B0A3875_13</vt:lpwstr>
  </property>
</Properties>
</file>